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B08D6" w14:textId="7E729FF3" w:rsidR="00275AE3" w:rsidRPr="00DE39B5" w:rsidRDefault="00B669A0" w:rsidP="00B669A0">
      <w:pPr>
        <w:spacing w:after="0"/>
        <w:jc w:val="center"/>
        <w:rPr>
          <w:b/>
          <w:bCs/>
          <w:lang w:val="en-GB"/>
        </w:rPr>
      </w:pPr>
      <w:r w:rsidRPr="00DE39B5">
        <w:rPr>
          <w:b/>
          <w:bCs/>
          <w:lang w:val="en-GB"/>
        </w:rPr>
        <w:t>TARGETED STAKEHOLDER CONSULTATION 2021 RULE OF LAW REPORT</w:t>
      </w:r>
    </w:p>
    <w:p w14:paraId="23699319" w14:textId="575C3A05" w:rsidR="00B669A0" w:rsidRPr="00DE39B5" w:rsidRDefault="00B669A0" w:rsidP="00B669A0">
      <w:pPr>
        <w:spacing w:after="0"/>
        <w:jc w:val="center"/>
        <w:rPr>
          <w:b/>
          <w:bCs/>
          <w:lang w:val="en-GB"/>
        </w:rPr>
      </w:pPr>
      <w:r w:rsidRPr="00DE39B5">
        <w:rPr>
          <w:b/>
          <w:bCs/>
          <w:lang w:val="en-GB"/>
        </w:rPr>
        <w:t>UN HUMAN RIGHTS REGIONAL OFFICE FOR EUROPE (OHCHR)</w:t>
      </w:r>
    </w:p>
    <w:p w14:paraId="56642246" w14:textId="77777777" w:rsidR="00B669A0" w:rsidRPr="00DE39B5" w:rsidRDefault="00B669A0" w:rsidP="00B669A0">
      <w:pPr>
        <w:spacing w:after="0"/>
        <w:rPr>
          <w:b/>
          <w:bCs/>
          <w:lang w:val="en-GB"/>
        </w:rPr>
      </w:pPr>
    </w:p>
    <w:p w14:paraId="5AED5770" w14:textId="77777777" w:rsidR="008F5F0F" w:rsidRPr="00DE39B5" w:rsidRDefault="008F5F0F" w:rsidP="00815599">
      <w:pPr>
        <w:jc w:val="both"/>
        <w:rPr>
          <w:lang w:val="en-GB"/>
        </w:rPr>
      </w:pPr>
    </w:p>
    <w:p w14:paraId="465166AB" w14:textId="0A801675" w:rsidR="001B7CA2" w:rsidRPr="00DE39B5" w:rsidRDefault="00E63CAD" w:rsidP="00B669A0">
      <w:pPr>
        <w:pBdr>
          <w:bottom w:val="single" w:sz="4" w:space="1" w:color="auto"/>
        </w:pBdr>
        <w:rPr>
          <w:b/>
          <w:bCs/>
          <w:lang w:val="en-GB"/>
        </w:rPr>
      </w:pPr>
      <w:r>
        <w:rPr>
          <w:b/>
          <w:bCs/>
          <w:lang w:val="en-GB"/>
        </w:rPr>
        <w:t>GERMANY</w:t>
      </w:r>
      <w:r w:rsidR="00B669A0" w:rsidRPr="00DE39B5">
        <w:rPr>
          <w:b/>
          <w:bCs/>
          <w:lang w:val="en-GB"/>
        </w:rPr>
        <w:t xml:space="preserve"> REVIEW</w:t>
      </w:r>
    </w:p>
    <w:p w14:paraId="2EEF89E7" w14:textId="77777777" w:rsidR="001B7CA2" w:rsidRPr="00DE39B5" w:rsidRDefault="001B7CA2" w:rsidP="006E6E00">
      <w:pPr>
        <w:spacing w:line="240" w:lineRule="auto"/>
        <w:jc w:val="both"/>
        <w:rPr>
          <w:lang w:val="en-GB"/>
        </w:rPr>
      </w:pPr>
      <w:r w:rsidRPr="00DE39B5">
        <w:rPr>
          <w:b/>
          <w:bCs/>
          <w:lang w:val="en-GB"/>
        </w:rPr>
        <w:t xml:space="preserve">I. Justice System </w:t>
      </w:r>
    </w:p>
    <w:p w14:paraId="368A2681" w14:textId="77777777" w:rsidR="001B7CA2" w:rsidRPr="00DE39B5" w:rsidRDefault="001B7CA2" w:rsidP="006E6E00">
      <w:pPr>
        <w:spacing w:line="240" w:lineRule="auto"/>
        <w:jc w:val="both"/>
        <w:rPr>
          <w:lang w:val="en-GB"/>
        </w:rPr>
      </w:pPr>
      <w:r w:rsidRPr="00DE39B5">
        <w:rPr>
          <w:b/>
          <w:bCs/>
          <w:i/>
          <w:iCs/>
          <w:lang w:val="en-GB"/>
        </w:rPr>
        <w:t xml:space="preserve">A. Independence </w:t>
      </w:r>
    </w:p>
    <w:p w14:paraId="6CF3F68E" w14:textId="77777777" w:rsidR="001B7CA2" w:rsidRPr="00DE39B5" w:rsidRDefault="001B7CA2" w:rsidP="006E6E00">
      <w:pPr>
        <w:spacing w:line="240" w:lineRule="auto"/>
        <w:jc w:val="both"/>
        <w:rPr>
          <w:lang w:val="en-GB"/>
        </w:rPr>
      </w:pPr>
      <w:r w:rsidRPr="00DE39B5">
        <w:rPr>
          <w:i/>
          <w:iCs/>
          <w:lang w:val="en-GB"/>
        </w:rPr>
        <w:t xml:space="preserve">1. Appointment and selection of judges, prosecutors and court presidents </w:t>
      </w:r>
    </w:p>
    <w:p w14:paraId="6646A1AA" w14:textId="77777777" w:rsidR="001B7CA2" w:rsidRPr="00DE39B5" w:rsidRDefault="001B7CA2" w:rsidP="006E6E00">
      <w:pPr>
        <w:spacing w:line="240" w:lineRule="auto"/>
        <w:jc w:val="both"/>
        <w:rPr>
          <w:lang w:val="en-GB"/>
        </w:rPr>
      </w:pPr>
      <w:r w:rsidRPr="00DE39B5">
        <w:rPr>
          <w:i/>
          <w:iCs/>
          <w:lang w:val="en-GB"/>
        </w:rPr>
        <w:t xml:space="preserve">2. Irremovability of judges; including transfers, dismissal and retirement regime of judges, court presidents and prosecutors </w:t>
      </w:r>
    </w:p>
    <w:p w14:paraId="3EB4EF2B" w14:textId="77777777" w:rsidR="001B7CA2" w:rsidRPr="00DE39B5" w:rsidRDefault="001B7CA2" w:rsidP="006E6E00">
      <w:pPr>
        <w:spacing w:line="240" w:lineRule="auto"/>
        <w:jc w:val="both"/>
        <w:rPr>
          <w:lang w:val="en-GB"/>
        </w:rPr>
      </w:pPr>
      <w:r w:rsidRPr="00DE39B5">
        <w:rPr>
          <w:i/>
          <w:iCs/>
          <w:lang w:val="en-GB"/>
        </w:rPr>
        <w:t xml:space="preserve">3. Promotion of judges and prosecutors </w:t>
      </w:r>
    </w:p>
    <w:p w14:paraId="3E481A7D" w14:textId="77777777" w:rsidR="001B7CA2" w:rsidRPr="00DE39B5" w:rsidRDefault="001B7CA2" w:rsidP="006E6E00">
      <w:pPr>
        <w:spacing w:line="240" w:lineRule="auto"/>
        <w:jc w:val="both"/>
        <w:rPr>
          <w:lang w:val="en-GB"/>
        </w:rPr>
      </w:pPr>
      <w:r w:rsidRPr="00DE39B5">
        <w:rPr>
          <w:i/>
          <w:iCs/>
          <w:lang w:val="en-GB"/>
        </w:rPr>
        <w:t xml:space="preserve">4. Allocation of cases in courts </w:t>
      </w:r>
    </w:p>
    <w:p w14:paraId="6F2D0D64" w14:textId="77777777" w:rsidR="001B7CA2" w:rsidRPr="00DE39B5" w:rsidRDefault="001B7CA2" w:rsidP="006E6E00">
      <w:pPr>
        <w:spacing w:line="240" w:lineRule="auto"/>
        <w:jc w:val="both"/>
        <w:rPr>
          <w:lang w:val="en-GB"/>
        </w:rPr>
      </w:pPr>
      <w:r w:rsidRPr="00DE39B5">
        <w:rPr>
          <w:i/>
          <w:iCs/>
          <w:lang w:val="en-GB"/>
        </w:rPr>
        <w:t xml:space="preserve">5. Independence (including composition and nomination of its members), and powers of the body tasked with safeguarding the independence of the judiciary (e.g. Council for the Judiciary) </w:t>
      </w:r>
    </w:p>
    <w:p w14:paraId="2E67A952" w14:textId="77777777" w:rsidR="001B7CA2" w:rsidRPr="00DE39B5" w:rsidRDefault="001B7CA2" w:rsidP="006E6E00">
      <w:pPr>
        <w:spacing w:line="240" w:lineRule="auto"/>
        <w:jc w:val="both"/>
        <w:rPr>
          <w:lang w:val="en-GB"/>
        </w:rPr>
      </w:pPr>
      <w:r w:rsidRPr="00DE39B5">
        <w:rPr>
          <w:i/>
          <w:iCs/>
          <w:lang w:val="en-GB"/>
        </w:rPr>
        <w:t xml:space="preserve">6. Accountability of judges and prosecutors, including disciplinary regime and bodies and ethical rules, judicial immunity and criminal liability of judges. </w:t>
      </w:r>
    </w:p>
    <w:p w14:paraId="59D76928" w14:textId="77777777" w:rsidR="001B7CA2" w:rsidRPr="00DE39B5" w:rsidRDefault="001B7CA2" w:rsidP="006E6E00">
      <w:pPr>
        <w:spacing w:line="240" w:lineRule="auto"/>
        <w:jc w:val="both"/>
        <w:rPr>
          <w:lang w:val="en-GB"/>
        </w:rPr>
      </w:pPr>
      <w:r w:rsidRPr="00DE39B5">
        <w:rPr>
          <w:i/>
          <w:iCs/>
          <w:lang w:val="en-GB"/>
        </w:rPr>
        <w:t xml:space="preserve">7. Remuneration/bonuses for judges and prosecutors </w:t>
      </w:r>
    </w:p>
    <w:p w14:paraId="37EA107A" w14:textId="77777777" w:rsidR="001B7CA2" w:rsidRPr="00DE39B5" w:rsidRDefault="001B7CA2" w:rsidP="006E6E00">
      <w:pPr>
        <w:spacing w:line="240" w:lineRule="auto"/>
        <w:jc w:val="both"/>
        <w:rPr>
          <w:lang w:val="en-GB"/>
        </w:rPr>
      </w:pPr>
      <w:r w:rsidRPr="00DE39B5">
        <w:rPr>
          <w:i/>
          <w:iCs/>
          <w:lang w:val="en-GB"/>
        </w:rPr>
        <w:t xml:space="preserve">8. Independence/autonomy of the prosecution service </w:t>
      </w:r>
    </w:p>
    <w:p w14:paraId="2986F635" w14:textId="77777777" w:rsidR="001B7CA2" w:rsidRPr="00DE39B5" w:rsidRDefault="001B7CA2" w:rsidP="006E6E00">
      <w:pPr>
        <w:spacing w:line="240" w:lineRule="auto"/>
        <w:jc w:val="both"/>
        <w:rPr>
          <w:lang w:val="en-GB"/>
        </w:rPr>
      </w:pPr>
      <w:r w:rsidRPr="00DE39B5">
        <w:rPr>
          <w:i/>
          <w:iCs/>
          <w:lang w:val="en-GB"/>
        </w:rPr>
        <w:t xml:space="preserve">9. Independence of the Bar (chamber/association of lawyers) and of lawyers </w:t>
      </w:r>
    </w:p>
    <w:p w14:paraId="39A01995" w14:textId="77777777" w:rsidR="001B7CA2" w:rsidRPr="00DE39B5" w:rsidRDefault="001B7CA2" w:rsidP="006E6E00">
      <w:pPr>
        <w:spacing w:line="240" w:lineRule="auto"/>
        <w:jc w:val="both"/>
        <w:rPr>
          <w:lang w:val="en-GB"/>
        </w:rPr>
      </w:pPr>
      <w:r w:rsidRPr="00DE39B5">
        <w:rPr>
          <w:i/>
          <w:iCs/>
          <w:lang w:val="en-GB"/>
        </w:rPr>
        <w:t xml:space="preserve">10. Significant developments capable of affecting the perception that the general public has of the independence of the judiciary </w:t>
      </w:r>
    </w:p>
    <w:p w14:paraId="4E024A29" w14:textId="77777777" w:rsidR="001B7CA2" w:rsidRPr="00DE39B5" w:rsidRDefault="001B7CA2" w:rsidP="006E6E00">
      <w:pPr>
        <w:spacing w:line="240" w:lineRule="auto"/>
        <w:jc w:val="both"/>
        <w:rPr>
          <w:lang w:val="en-GB"/>
        </w:rPr>
      </w:pPr>
      <w:r w:rsidRPr="00DE39B5">
        <w:rPr>
          <w:lang w:val="en-GB"/>
        </w:rPr>
        <w:t xml:space="preserve"> </w:t>
      </w:r>
      <w:r w:rsidRPr="00DE39B5">
        <w:rPr>
          <w:b/>
          <w:bCs/>
          <w:i/>
          <w:iCs/>
          <w:lang w:val="en-GB"/>
        </w:rPr>
        <w:t xml:space="preserve">B. Quality of justice </w:t>
      </w:r>
    </w:p>
    <w:p w14:paraId="48E3E95A" w14:textId="384276FF" w:rsidR="001B7CA2" w:rsidRDefault="001B7CA2" w:rsidP="006E6E00">
      <w:pPr>
        <w:spacing w:line="240" w:lineRule="auto"/>
        <w:jc w:val="both"/>
        <w:rPr>
          <w:i/>
          <w:iCs/>
          <w:lang w:val="en-GB"/>
        </w:rPr>
      </w:pPr>
      <w:r w:rsidRPr="00DE39B5">
        <w:rPr>
          <w:i/>
          <w:iCs/>
          <w:lang w:val="en-GB"/>
        </w:rPr>
        <w:t xml:space="preserve">11. Accessibility of courts (e.g. court fees, legal aid, language) </w:t>
      </w:r>
    </w:p>
    <w:p w14:paraId="6D42F015" w14:textId="69F0A8B0" w:rsidR="00C35057" w:rsidRDefault="00A02E03" w:rsidP="006E6E00">
      <w:pPr>
        <w:spacing w:line="240" w:lineRule="auto"/>
        <w:jc w:val="both"/>
        <w:rPr>
          <w:lang w:val="en-GB"/>
        </w:rPr>
      </w:pPr>
      <w:r>
        <w:rPr>
          <w:lang w:val="en-GB"/>
        </w:rPr>
        <w:t xml:space="preserve">In its 2019 </w:t>
      </w:r>
      <w:r w:rsidR="00AE223F">
        <w:rPr>
          <w:lang w:val="en-GB"/>
        </w:rPr>
        <w:t>c</w:t>
      </w:r>
      <w:r w:rsidR="00C35057">
        <w:rPr>
          <w:lang w:val="en-GB"/>
        </w:rPr>
        <w:t xml:space="preserve">oncluding observations, the </w:t>
      </w:r>
      <w:r w:rsidR="005461E9">
        <w:rPr>
          <w:lang w:val="en-GB"/>
        </w:rPr>
        <w:t xml:space="preserve">UN </w:t>
      </w:r>
      <w:r w:rsidR="00C35057">
        <w:rPr>
          <w:lang w:val="en-GB"/>
        </w:rPr>
        <w:t xml:space="preserve">Committee against Torture noted with concern that in practice, detained persons do not always enjoy all the fundamental legal safeguards from the outset of their detention, including the receipt of information on their rights in writing, in a language that they understand. The Committee recommended Germany to ensure that detainees enjoy the benefits of all fundamental safeguards in practice from the outset of their deprivation of liberty, in accordance with international standards, including, in particular, </w:t>
      </w:r>
      <w:r w:rsidR="00C35057" w:rsidRPr="00C35057">
        <w:rPr>
          <w:lang w:val="en-GB"/>
        </w:rPr>
        <w:t>the right to receive legal assistance at any time and without delay; and the right to be informed of the reasons for their detention and the nature of the charges against them in a language that they understand</w:t>
      </w:r>
      <w:r w:rsidR="00C35057">
        <w:rPr>
          <w:lang w:val="en-GB"/>
        </w:rPr>
        <w:t xml:space="preserve">. (See </w:t>
      </w:r>
      <w:hyperlink r:id="rId8" w:history="1">
        <w:r w:rsidR="00C35057" w:rsidRPr="00C35057">
          <w:rPr>
            <w:rStyle w:val="Hyperlink"/>
            <w:lang w:val="en-GB"/>
          </w:rPr>
          <w:t>CAT/C/DEU/</w:t>
        </w:r>
        <w:r w:rsidR="00C35057" w:rsidRPr="00C35057">
          <w:rPr>
            <w:rStyle w:val="Hyperlink"/>
            <w:lang w:val="en-GB"/>
          </w:rPr>
          <w:t>CO/6</w:t>
        </w:r>
      </w:hyperlink>
      <w:r w:rsidR="00C35057">
        <w:rPr>
          <w:lang w:val="en-GB"/>
        </w:rPr>
        <w:t xml:space="preserve">, para 11, 12). </w:t>
      </w:r>
    </w:p>
    <w:p w14:paraId="3D46908D" w14:textId="7EB0CBE2" w:rsidR="004573B3" w:rsidRDefault="004573B3" w:rsidP="006E6E00">
      <w:pPr>
        <w:spacing w:line="240" w:lineRule="auto"/>
        <w:jc w:val="both"/>
        <w:rPr>
          <w:lang w:val="en-GB"/>
        </w:rPr>
      </w:pPr>
      <w:r>
        <w:rPr>
          <w:lang w:val="en-GB"/>
        </w:rPr>
        <w:t xml:space="preserve">In its 2018 </w:t>
      </w:r>
      <w:r w:rsidR="003333FC">
        <w:rPr>
          <w:lang w:val="en-GB"/>
        </w:rPr>
        <w:t>c</w:t>
      </w:r>
      <w:r>
        <w:rPr>
          <w:lang w:val="en-GB"/>
        </w:rPr>
        <w:t xml:space="preserve">oncluding observations, the UN </w:t>
      </w:r>
      <w:r w:rsidRPr="004573B3">
        <w:rPr>
          <w:lang w:val="en-GB"/>
        </w:rPr>
        <w:t>Committee on Economic, Social and Cultural Rights</w:t>
      </w:r>
      <w:r>
        <w:rPr>
          <w:lang w:val="en-GB"/>
        </w:rPr>
        <w:t xml:space="preserve"> expressed concern over the practical obstacles impeding access to justice in the State party </w:t>
      </w:r>
      <w:r w:rsidRPr="004573B3">
        <w:rPr>
          <w:lang w:val="en-GB"/>
        </w:rPr>
        <w:t>by non-nationals whose rights have allegedly been violated by German companies abroad, despite the fact that German law provides for their access to justice and to legal aid</w:t>
      </w:r>
      <w:r>
        <w:rPr>
          <w:lang w:val="en-GB"/>
        </w:rPr>
        <w:t xml:space="preserve">. The Committee recommended Germany to take measures, </w:t>
      </w:r>
      <w:r w:rsidRPr="004573B3">
        <w:rPr>
          <w:lang w:val="en-GB"/>
        </w:rPr>
        <w:t xml:space="preserve">including the provision of enhanced legal assistance for victims and the introduction of collective redress mechanisms in civil proceedings, criminal liability of corporations and disclosure procedures, to guarantee that the victims of human rights abuses by companies domiciled in Germany or under the </w:t>
      </w:r>
      <w:r w:rsidR="006151C9" w:rsidRPr="004573B3">
        <w:rPr>
          <w:lang w:val="en-GB"/>
        </w:rPr>
        <w:t>country’</w:t>
      </w:r>
      <w:r w:rsidRPr="004573B3">
        <w:rPr>
          <w:lang w:val="en-GB"/>
        </w:rPr>
        <w:t>s jurisdiction have access to effective remedies and compensation in Germany.</w:t>
      </w:r>
      <w:r>
        <w:rPr>
          <w:lang w:val="en-GB"/>
        </w:rPr>
        <w:t xml:space="preserve"> (See </w:t>
      </w:r>
      <w:r w:rsidR="00B53271">
        <w:fldChar w:fldCharType="begin"/>
      </w:r>
      <w:r w:rsidR="00B53271" w:rsidRPr="00612DDE">
        <w:rPr>
          <w:lang w:val="en-GB"/>
        </w:rPr>
        <w:instrText xml:space="preserve"> HYPERLINK "https://docstore.ohchr.org/SelfServices/FilesHandler.ashx?enc=4slQ6QSmlBEDzFEovLCuWx2r5QgrDoHhDa4HdzLZSD2zbo%2fzew8fG%2f%2fJWzgaIqrl%2fpQdKVEU%2beWBy15OCs%2f%2bnkU3s6ayod026StGVH8b0gDad0d4wZZ5%2fvp6F1W5k%2bvv" </w:instrText>
      </w:r>
      <w:r w:rsidR="00B53271">
        <w:fldChar w:fldCharType="separate"/>
      </w:r>
      <w:r w:rsidRPr="004573B3">
        <w:rPr>
          <w:rStyle w:val="Hyperlink"/>
          <w:lang w:val="en-GB"/>
        </w:rPr>
        <w:t>E/C.12/D</w:t>
      </w:r>
      <w:r w:rsidRPr="004573B3">
        <w:rPr>
          <w:rStyle w:val="Hyperlink"/>
          <w:lang w:val="en-GB"/>
        </w:rPr>
        <w:t>EU/CO/6</w:t>
      </w:r>
      <w:r w:rsidR="00B53271">
        <w:rPr>
          <w:rStyle w:val="Hyperlink"/>
          <w:lang w:val="en-GB"/>
        </w:rPr>
        <w:fldChar w:fldCharType="end"/>
      </w:r>
      <w:r>
        <w:rPr>
          <w:lang w:val="en-GB"/>
        </w:rPr>
        <w:t xml:space="preserve">, para 9, 10). </w:t>
      </w:r>
    </w:p>
    <w:p w14:paraId="2B392320" w14:textId="3DDAC25D" w:rsidR="0007240C" w:rsidRPr="00612DDE" w:rsidRDefault="0007240C" w:rsidP="00612DDE">
      <w:pPr>
        <w:jc w:val="both"/>
        <w:rPr>
          <w:bCs/>
          <w:iCs/>
          <w:lang w:val="en-GB"/>
        </w:rPr>
      </w:pPr>
      <w:r w:rsidRPr="001D3AF5">
        <w:rPr>
          <w:bCs/>
          <w:iCs/>
          <w:lang w:val="en-GB"/>
        </w:rPr>
        <w:lastRenderedPageBreak/>
        <w:t xml:space="preserve">In February 2021, UN Human Rights experts called </w:t>
      </w:r>
      <w:r>
        <w:rPr>
          <w:bCs/>
          <w:iCs/>
          <w:lang w:val="en-BE"/>
        </w:rPr>
        <w:t>on</w:t>
      </w:r>
      <w:r w:rsidRPr="001D3AF5">
        <w:rPr>
          <w:bCs/>
          <w:iCs/>
          <w:lang w:val="en-GB"/>
        </w:rPr>
        <w:t xml:space="preserve"> 57 countries, including</w:t>
      </w:r>
      <w:r>
        <w:rPr>
          <w:bCs/>
          <w:iCs/>
          <w:lang w:val="en-BE"/>
        </w:rPr>
        <w:t xml:space="preserve"> </w:t>
      </w:r>
      <w:r>
        <w:rPr>
          <w:bCs/>
          <w:iCs/>
          <w:lang w:val="en-US"/>
        </w:rPr>
        <w:t>Germany</w:t>
      </w:r>
      <w:r>
        <w:rPr>
          <w:bCs/>
          <w:iCs/>
          <w:lang w:val="en-BE"/>
        </w:rPr>
        <w:t>,</w:t>
      </w:r>
      <w:r w:rsidRPr="001D3AF5">
        <w:rPr>
          <w:bCs/>
          <w:iCs/>
          <w:lang w:val="en-GB"/>
        </w:rPr>
        <w:t xml:space="preserve"> </w:t>
      </w:r>
      <w:r w:rsidR="00A71217">
        <w:rPr>
          <w:bCs/>
          <w:iCs/>
          <w:lang w:val="en-GB"/>
        </w:rPr>
        <w:t xml:space="preserve">to repatriate </w:t>
      </w:r>
      <w:r w:rsidRPr="001D3AF5">
        <w:rPr>
          <w:bCs/>
          <w:iCs/>
          <w:lang w:val="en-GB"/>
        </w:rPr>
        <w:t xml:space="preserve">women and children from camps in northeast Syrian camps. The experts </w:t>
      </w:r>
      <w:r w:rsidR="00A71217">
        <w:rPr>
          <w:bCs/>
          <w:iCs/>
          <w:lang w:val="en-GB"/>
        </w:rPr>
        <w:t xml:space="preserve">expressed concern that </w:t>
      </w:r>
      <w:r w:rsidR="00A71217">
        <w:rPr>
          <w:rStyle w:val="lblnewsfulltext"/>
          <w:lang w:val="en-US"/>
        </w:rPr>
        <w:t xml:space="preserve">people held in the camps were </w:t>
      </w:r>
      <w:r w:rsidR="00A71217" w:rsidRPr="00612DDE">
        <w:rPr>
          <w:rStyle w:val="lblnewsfulltext"/>
          <w:lang w:val="en-US"/>
        </w:rPr>
        <w:t xml:space="preserve">exposed to violence, exploitation, abuse and deprivation in conditions and treatment that may </w:t>
      </w:r>
      <w:bookmarkStart w:id="0" w:name="_GoBack"/>
      <w:bookmarkEnd w:id="0"/>
      <w:r w:rsidR="00A71217" w:rsidRPr="00612DDE">
        <w:rPr>
          <w:rStyle w:val="lblnewsfulltext"/>
          <w:lang w:val="en-US"/>
        </w:rPr>
        <w:t xml:space="preserve">well amount to torture or other cruel, inhuman or degrading treatment or punishment under international law, with no effective remedy at their disposal. </w:t>
      </w:r>
      <w:r w:rsidR="00A71217">
        <w:rPr>
          <w:rStyle w:val="lblnewsfulltext"/>
          <w:lang w:val="en-US"/>
        </w:rPr>
        <w:t xml:space="preserve">The experts </w:t>
      </w:r>
      <w:r w:rsidRPr="001D3AF5">
        <w:rPr>
          <w:bCs/>
          <w:iCs/>
          <w:lang w:val="en-GB"/>
        </w:rPr>
        <w:t>recalled the urgent need for justice, truth and reparation for all of the victims of the very serious violations of human rights and humanitarian law that have occurred in the region.</w:t>
      </w:r>
      <w:r w:rsidR="00A71217">
        <w:rPr>
          <w:bCs/>
          <w:iCs/>
          <w:lang w:val="en-GB"/>
        </w:rPr>
        <w:t xml:space="preserve"> </w:t>
      </w:r>
      <w:r w:rsidRPr="001D3AF5">
        <w:rPr>
          <w:bCs/>
          <w:iCs/>
          <w:lang w:val="en-GB"/>
        </w:rPr>
        <w:t xml:space="preserve"> In that context, the continued detention, on unclear grounds, of women and children in the camps </w:t>
      </w:r>
      <w:r>
        <w:rPr>
          <w:bCs/>
          <w:iCs/>
          <w:lang w:val="en-BE"/>
        </w:rPr>
        <w:t>was</w:t>
      </w:r>
      <w:r w:rsidRPr="001D3AF5">
        <w:rPr>
          <w:bCs/>
          <w:iCs/>
          <w:lang w:val="en-GB"/>
        </w:rPr>
        <w:t xml:space="preserve"> a matter of grave concern and undermines the progression of accountability, truth and justice. </w:t>
      </w:r>
      <w:r w:rsidR="00A71217">
        <w:rPr>
          <w:bCs/>
          <w:iCs/>
          <w:lang w:val="en-GB"/>
        </w:rPr>
        <w:t>(See</w:t>
      </w:r>
      <w:r w:rsidRPr="001D3AF5">
        <w:rPr>
          <w:bCs/>
          <w:iCs/>
          <w:lang w:val="en-GB"/>
        </w:rPr>
        <w:t xml:space="preserve"> at: </w:t>
      </w:r>
      <w:hyperlink r:id="rId9" w:history="1">
        <w:r w:rsidRPr="001D3AF5">
          <w:rPr>
            <w:rStyle w:val="Hyperlink"/>
            <w:iCs/>
            <w:lang w:val="en-US"/>
          </w:rPr>
          <w:t>https://www.ohchr.org/EN/NewsEvents/Pages/DisplayNews.aspx?NewsID=26730</w:t>
        </w:r>
      </w:hyperlink>
      <w:r w:rsidR="00A71217">
        <w:rPr>
          <w:lang w:val="en-GB"/>
        </w:rPr>
        <w:t>)</w:t>
      </w:r>
    </w:p>
    <w:p w14:paraId="5901B04E" w14:textId="23DC6D57" w:rsidR="001B7CA2" w:rsidRPr="00DE39B5" w:rsidRDefault="001B7CA2" w:rsidP="006E6E00">
      <w:pPr>
        <w:spacing w:line="240" w:lineRule="auto"/>
        <w:jc w:val="both"/>
        <w:rPr>
          <w:lang w:val="en-GB"/>
        </w:rPr>
      </w:pPr>
      <w:r w:rsidRPr="00DE39B5">
        <w:rPr>
          <w:i/>
          <w:iCs/>
          <w:lang w:val="en-GB"/>
        </w:rPr>
        <w:t xml:space="preserve">12. Resources of the judiciary (human/financial/material) </w:t>
      </w:r>
    </w:p>
    <w:p w14:paraId="30D576F4" w14:textId="3F44C7DE" w:rsidR="001B7CA2" w:rsidRPr="00DE39B5" w:rsidRDefault="001B7CA2" w:rsidP="006E6E00">
      <w:pPr>
        <w:spacing w:line="240" w:lineRule="auto"/>
        <w:jc w:val="both"/>
        <w:rPr>
          <w:i/>
          <w:iCs/>
          <w:lang w:val="en-GB"/>
        </w:rPr>
      </w:pPr>
      <w:r w:rsidRPr="00DE39B5">
        <w:rPr>
          <w:i/>
          <w:iCs/>
          <w:lang w:val="en-GB"/>
        </w:rPr>
        <w:t xml:space="preserve">13. Training of justice professionals (including judges, prosecutors, lawyers, court staff) </w:t>
      </w:r>
    </w:p>
    <w:p w14:paraId="7CCDFF4F" w14:textId="4D6B9E80" w:rsidR="003333FC" w:rsidRPr="00612DDE" w:rsidRDefault="003333FC" w:rsidP="00612DDE">
      <w:pPr>
        <w:pStyle w:val="CommentText"/>
        <w:jc w:val="both"/>
        <w:rPr>
          <w:iCs/>
          <w:sz w:val="22"/>
          <w:szCs w:val="22"/>
          <w:lang w:val="en-GB"/>
        </w:rPr>
      </w:pPr>
      <w:r w:rsidRPr="00612DDE">
        <w:rPr>
          <w:sz w:val="22"/>
          <w:szCs w:val="22"/>
          <w:lang w:val="en-GB"/>
        </w:rPr>
        <w:t>In its 2019 concluding observations, the UN Committee against Torture</w:t>
      </w:r>
      <w:r w:rsidRPr="00612DDE">
        <w:rPr>
          <w:iCs/>
          <w:sz w:val="22"/>
          <w:szCs w:val="22"/>
          <w:lang w:val="en-GB"/>
        </w:rPr>
        <w:t xml:space="preserve"> noted </w:t>
      </w:r>
      <w:r w:rsidRPr="00612DDE">
        <w:rPr>
          <w:sz w:val="22"/>
          <w:szCs w:val="22"/>
          <w:lang w:val="en-GB"/>
        </w:rPr>
        <w:t xml:space="preserve">with concern the lack of detail provided by </w:t>
      </w:r>
      <w:r w:rsidRPr="00612DDE">
        <w:rPr>
          <w:sz w:val="22"/>
          <w:szCs w:val="22"/>
          <w:lang w:val="en-GB"/>
        </w:rPr>
        <w:t>Germany</w:t>
      </w:r>
      <w:r w:rsidRPr="00612DDE">
        <w:rPr>
          <w:sz w:val="22"/>
          <w:szCs w:val="22"/>
          <w:lang w:val="en-GB"/>
        </w:rPr>
        <w:t xml:space="preserve"> on cases in which the Convention has been invoked and directly applied be</w:t>
      </w:r>
      <w:r w:rsidRPr="00612DDE">
        <w:rPr>
          <w:sz w:val="22"/>
          <w:szCs w:val="22"/>
          <w:lang w:val="en-GB"/>
        </w:rPr>
        <w:t xml:space="preserve">fore the domestic courts. It recommended that Germany </w:t>
      </w:r>
      <w:r w:rsidRPr="00612DDE">
        <w:rPr>
          <w:sz w:val="22"/>
          <w:szCs w:val="22"/>
          <w:lang w:val="en-GB"/>
        </w:rPr>
        <w:t>disseminate the Convention to all public authorities, including the judiciary, thus facilitating invocation and direct application of the Convention before domestic courts, both at the federal and Länder levels.</w:t>
      </w:r>
      <w:r w:rsidRPr="00612DDE">
        <w:rPr>
          <w:sz w:val="22"/>
          <w:szCs w:val="22"/>
          <w:lang w:val="en-GB"/>
        </w:rPr>
        <w:t xml:space="preserve"> </w:t>
      </w:r>
      <w:r w:rsidRPr="00612DDE">
        <w:rPr>
          <w:sz w:val="22"/>
          <w:szCs w:val="22"/>
          <w:lang w:val="en-GB"/>
        </w:rPr>
        <w:t xml:space="preserve">(See </w:t>
      </w:r>
      <w:hyperlink r:id="rId10" w:history="1">
        <w:r w:rsidRPr="00612DDE">
          <w:rPr>
            <w:rStyle w:val="Hyperlink"/>
            <w:sz w:val="22"/>
            <w:szCs w:val="22"/>
            <w:lang w:val="en-GB"/>
          </w:rPr>
          <w:t>CAT/C/DEU/CO/6</w:t>
        </w:r>
      </w:hyperlink>
      <w:r w:rsidRPr="00612DDE">
        <w:rPr>
          <w:sz w:val="22"/>
          <w:szCs w:val="22"/>
          <w:lang w:val="en-GB"/>
        </w:rPr>
        <w:t xml:space="preserve">, para </w:t>
      </w:r>
      <w:r w:rsidRPr="00612DDE">
        <w:rPr>
          <w:sz w:val="22"/>
          <w:szCs w:val="22"/>
          <w:lang w:val="en-GB"/>
        </w:rPr>
        <w:t>57, 58</w:t>
      </w:r>
      <w:r w:rsidRPr="00612DDE">
        <w:rPr>
          <w:sz w:val="22"/>
          <w:szCs w:val="22"/>
          <w:lang w:val="en-GB"/>
        </w:rPr>
        <w:t>).</w:t>
      </w:r>
    </w:p>
    <w:p w14:paraId="670ADB08" w14:textId="3EC7A450" w:rsidR="003333FC" w:rsidRPr="00612DDE" w:rsidRDefault="003333FC" w:rsidP="00612DDE">
      <w:pPr>
        <w:pStyle w:val="CommentText"/>
        <w:jc w:val="both"/>
        <w:rPr>
          <w:sz w:val="22"/>
          <w:szCs w:val="22"/>
          <w:lang w:val="en-GB"/>
        </w:rPr>
      </w:pPr>
      <w:r w:rsidRPr="00612DDE">
        <w:rPr>
          <w:iCs/>
          <w:sz w:val="22"/>
          <w:szCs w:val="22"/>
          <w:lang w:val="en-GB"/>
        </w:rPr>
        <w:t>At its 2018 Universal Period Review, Germany accepted several recommendations relating to training of justice professionals, including to</w:t>
      </w:r>
      <w:r w:rsidR="00B93DED" w:rsidRPr="00612DDE">
        <w:rPr>
          <w:iCs/>
          <w:sz w:val="22"/>
          <w:szCs w:val="22"/>
          <w:lang w:val="en-GB"/>
        </w:rPr>
        <w:t xml:space="preserve"> </w:t>
      </w:r>
      <w:r w:rsidRPr="00612DDE">
        <w:rPr>
          <w:iCs/>
          <w:sz w:val="22"/>
          <w:szCs w:val="22"/>
          <w:lang w:val="en-GB"/>
        </w:rPr>
        <w:t>s</w:t>
      </w:r>
      <w:r w:rsidRPr="00612DDE">
        <w:rPr>
          <w:sz w:val="22"/>
          <w:szCs w:val="22"/>
          <w:lang w:val="en-GB"/>
        </w:rPr>
        <w:t>ystemize human rights education and training for professionals, including judi</w:t>
      </w:r>
      <w:r w:rsidRPr="00612DDE">
        <w:rPr>
          <w:sz w:val="22"/>
          <w:szCs w:val="22"/>
          <w:lang w:val="en-GB"/>
        </w:rPr>
        <w:t>c</w:t>
      </w:r>
      <w:r w:rsidR="009B09D1" w:rsidRPr="00DF01FF">
        <w:rPr>
          <w:sz w:val="22"/>
          <w:szCs w:val="22"/>
          <w:lang w:val="en-GB"/>
        </w:rPr>
        <w:t>iary</w:t>
      </w:r>
      <w:r w:rsidR="009B09D1">
        <w:rPr>
          <w:sz w:val="22"/>
          <w:szCs w:val="22"/>
          <w:lang w:val="en-GB"/>
        </w:rPr>
        <w:t xml:space="preserve">, to </w:t>
      </w:r>
      <w:r w:rsidRPr="00612DDE">
        <w:rPr>
          <w:sz w:val="22"/>
          <w:szCs w:val="22"/>
          <w:lang w:val="en-GB"/>
        </w:rPr>
        <w:t>p</w:t>
      </w:r>
      <w:r w:rsidRPr="00612DDE">
        <w:rPr>
          <w:sz w:val="22"/>
          <w:szCs w:val="22"/>
          <w:lang w:val="en-GB"/>
        </w:rPr>
        <w:t xml:space="preserve">rovide specialized training to prosecutors and judges and key actors in the criminal justice system </w:t>
      </w:r>
      <w:r w:rsidR="009B09D1">
        <w:rPr>
          <w:sz w:val="22"/>
          <w:szCs w:val="22"/>
          <w:lang w:val="en-GB"/>
        </w:rPr>
        <w:t>about</w:t>
      </w:r>
      <w:r w:rsidRPr="00612DDE">
        <w:rPr>
          <w:sz w:val="22"/>
          <w:szCs w:val="22"/>
          <w:lang w:val="en-GB"/>
        </w:rPr>
        <w:t xml:space="preserve"> hate crimes and racist offences, </w:t>
      </w:r>
      <w:r w:rsidR="009B09D1">
        <w:rPr>
          <w:sz w:val="22"/>
          <w:szCs w:val="22"/>
          <w:lang w:val="en-GB"/>
        </w:rPr>
        <w:t>and to i</w:t>
      </w:r>
      <w:r w:rsidRPr="00612DDE">
        <w:rPr>
          <w:sz w:val="22"/>
          <w:szCs w:val="22"/>
          <w:lang w:val="en-GB"/>
        </w:rPr>
        <w:t>m</w:t>
      </w:r>
      <w:r w:rsidRPr="00612DDE">
        <w:rPr>
          <w:sz w:val="22"/>
          <w:szCs w:val="22"/>
          <w:lang w:val="en-GB"/>
        </w:rPr>
        <w:t>plement comprehensive training and awareness-raising on the elimination of racial discrimination for police, judicial and administrative authorities</w:t>
      </w:r>
      <w:r w:rsidRPr="00612DDE">
        <w:rPr>
          <w:iCs/>
          <w:sz w:val="22"/>
          <w:szCs w:val="22"/>
          <w:lang w:val="en-GB"/>
        </w:rPr>
        <w:t>.</w:t>
      </w:r>
      <w:r w:rsidR="00B93DED" w:rsidRPr="00612DDE">
        <w:rPr>
          <w:iCs/>
          <w:sz w:val="22"/>
          <w:szCs w:val="22"/>
          <w:lang w:val="en-GB"/>
        </w:rPr>
        <w:t xml:space="preserve"> (See </w:t>
      </w:r>
      <w:hyperlink r:id="rId11" w:history="1">
        <w:r w:rsidR="00B93DED" w:rsidRPr="00612DDE">
          <w:rPr>
            <w:rStyle w:val="Hyperlink"/>
            <w:iCs/>
            <w:sz w:val="22"/>
            <w:szCs w:val="22"/>
            <w:lang w:val="en-GB"/>
          </w:rPr>
          <w:t>A/HRC/39/9</w:t>
        </w:r>
      </w:hyperlink>
      <w:r w:rsidR="00B93DED" w:rsidRPr="00612DDE">
        <w:rPr>
          <w:iCs/>
          <w:sz w:val="22"/>
          <w:szCs w:val="22"/>
          <w:lang w:val="en-GB"/>
        </w:rPr>
        <w:t xml:space="preserve"> and </w:t>
      </w:r>
      <w:hyperlink r:id="rId12" w:history="1">
        <w:r w:rsidR="00B93DED" w:rsidRPr="00612DDE">
          <w:rPr>
            <w:rStyle w:val="Hyperlink"/>
            <w:iCs/>
            <w:sz w:val="22"/>
            <w:szCs w:val="22"/>
            <w:lang w:val="en-GB"/>
          </w:rPr>
          <w:t>A/HRC/39/9/Add.1</w:t>
        </w:r>
      </w:hyperlink>
      <w:r w:rsidR="00B93DED" w:rsidRPr="00612DDE">
        <w:rPr>
          <w:iCs/>
          <w:sz w:val="22"/>
          <w:szCs w:val="22"/>
          <w:lang w:val="en-GB"/>
        </w:rPr>
        <w:t>, recommendations</w:t>
      </w:r>
      <w:r w:rsidRPr="00612DDE">
        <w:rPr>
          <w:i/>
          <w:iCs/>
          <w:sz w:val="22"/>
          <w:szCs w:val="22"/>
          <w:lang w:val="en-GB"/>
        </w:rPr>
        <w:t xml:space="preserve"> </w:t>
      </w:r>
      <w:r w:rsidRPr="00612DDE">
        <w:rPr>
          <w:sz w:val="22"/>
          <w:szCs w:val="22"/>
          <w:lang w:val="en-GB"/>
        </w:rPr>
        <w:t>155.</w:t>
      </w:r>
      <w:r w:rsidRPr="00612DDE">
        <w:rPr>
          <w:sz w:val="22"/>
          <w:szCs w:val="22"/>
          <w:lang w:val="en-GB"/>
        </w:rPr>
        <w:t>124, 155.</w:t>
      </w:r>
      <w:r w:rsidRPr="00612DDE">
        <w:rPr>
          <w:sz w:val="22"/>
          <w:szCs w:val="22"/>
          <w:lang w:val="en-GB"/>
        </w:rPr>
        <w:t>125</w:t>
      </w:r>
      <w:r w:rsidRPr="00612DDE">
        <w:rPr>
          <w:sz w:val="22"/>
          <w:szCs w:val="22"/>
          <w:lang w:val="en-GB"/>
        </w:rPr>
        <w:t xml:space="preserve"> and 155.96</w:t>
      </w:r>
      <w:r w:rsidR="00B93DED" w:rsidRPr="00612DDE">
        <w:rPr>
          <w:sz w:val="22"/>
          <w:szCs w:val="22"/>
          <w:lang w:val="en-GB"/>
        </w:rPr>
        <w:t xml:space="preserve">). </w:t>
      </w:r>
    </w:p>
    <w:p w14:paraId="08414796" w14:textId="548E5777" w:rsidR="001B7CA2" w:rsidRPr="00DE39B5" w:rsidRDefault="001B7CA2" w:rsidP="006E6E00">
      <w:pPr>
        <w:spacing w:line="240" w:lineRule="auto"/>
        <w:jc w:val="both"/>
        <w:rPr>
          <w:lang w:val="en-GB"/>
        </w:rPr>
      </w:pPr>
      <w:r w:rsidRPr="00DE39B5">
        <w:rPr>
          <w:i/>
          <w:iCs/>
          <w:lang w:val="en-GB"/>
        </w:rPr>
        <w:t xml:space="preserve">14. Digitalisation (e.g. use of digital technology, particularly electronic communication tools, within the justice system and with court users, including resilience of justice systems in COVID-19 pandemic) </w:t>
      </w:r>
    </w:p>
    <w:p w14:paraId="4B63E9E8" w14:textId="77777777" w:rsidR="001B7CA2" w:rsidRPr="00DE39B5" w:rsidRDefault="001B7CA2" w:rsidP="006E6E00">
      <w:pPr>
        <w:spacing w:line="240" w:lineRule="auto"/>
        <w:jc w:val="both"/>
        <w:rPr>
          <w:lang w:val="en-GB"/>
        </w:rPr>
      </w:pPr>
      <w:r w:rsidRPr="00DE39B5">
        <w:rPr>
          <w:i/>
          <w:iCs/>
          <w:lang w:val="en-GB"/>
        </w:rPr>
        <w:t xml:space="preserve">15. Use of assessment tools and standards (e.g. ICT systems for case management, court statistics and their transparency, monitoring, evaluation, surveys among court users or legal professionals) </w:t>
      </w:r>
    </w:p>
    <w:p w14:paraId="53114DC2" w14:textId="77777777" w:rsidR="001B7CA2" w:rsidRPr="00DE39B5" w:rsidRDefault="001B7CA2" w:rsidP="006E6E00">
      <w:pPr>
        <w:spacing w:line="240" w:lineRule="auto"/>
        <w:jc w:val="both"/>
        <w:rPr>
          <w:lang w:val="en-GB"/>
        </w:rPr>
      </w:pPr>
      <w:r w:rsidRPr="00DE39B5">
        <w:rPr>
          <w:i/>
          <w:iCs/>
          <w:lang w:val="en-GB"/>
        </w:rPr>
        <w:t xml:space="preserve">16. Geographical distribution and number of courts/jurisdictions (“judicial map”) and their specialisation </w:t>
      </w:r>
    </w:p>
    <w:p w14:paraId="5CD1D694" w14:textId="77777777" w:rsidR="001B7CA2" w:rsidRPr="00DE39B5" w:rsidRDefault="001B7CA2" w:rsidP="006E6E00">
      <w:pPr>
        <w:spacing w:line="240" w:lineRule="auto"/>
        <w:jc w:val="both"/>
        <w:rPr>
          <w:lang w:val="en-GB"/>
        </w:rPr>
      </w:pPr>
      <w:r w:rsidRPr="00DE39B5">
        <w:rPr>
          <w:b/>
          <w:bCs/>
          <w:i/>
          <w:iCs/>
          <w:lang w:val="en-GB"/>
        </w:rPr>
        <w:t xml:space="preserve">C. Efficiency of the justice system </w:t>
      </w:r>
    </w:p>
    <w:p w14:paraId="22318488" w14:textId="24F7E1FB" w:rsidR="001B7CA2" w:rsidRPr="00DE39B5" w:rsidRDefault="001B7CA2" w:rsidP="006E6E00">
      <w:pPr>
        <w:spacing w:line="240" w:lineRule="auto"/>
        <w:jc w:val="both"/>
        <w:rPr>
          <w:lang w:val="en-GB"/>
        </w:rPr>
      </w:pPr>
      <w:r w:rsidRPr="00DE39B5">
        <w:rPr>
          <w:i/>
          <w:iCs/>
          <w:lang w:val="en-GB"/>
        </w:rPr>
        <w:t xml:space="preserve">17. Length of proceedings </w:t>
      </w:r>
    </w:p>
    <w:p w14:paraId="60B62A00" w14:textId="6CF2A30A" w:rsidR="001B7CA2" w:rsidRDefault="001B7CA2" w:rsidP="006E6E00">
      <w:pPr>
        <w:spacing w:line="240" w:lineRule="auto"/>
        <w:jc w:val="both"/>
        <w:rPr>
          <w:b/>
          <w:bCs/>
          <w:i/>
          <w:iCs/>
          <w:lang w:val="en-GB"/>
        </w:rPr>
      </w:pPr>
      <w:r w:rsidRPr="00DE39B5">
        <w:rPr>
          <w:b/>
          <w:bCs/>
          <w:i/>
          <w:iCs/>
          <w:lang w:val="en-GB"/>
        </w:rPr>
        <w:t xml:space="preserve">Other – please specify </w:t>
      </w:r>
    </w:p>
    <w:p w14:paraId="59B6A150" w14:textId="2E754D16" w:rsidR="00736A67" w:rsidRPr="00612DDE" w:rsidRDefault="008272A0" w:rsidP="00DF01FF">
      <w:pPr>
        <w:spacing w:line="240" w:lineRule="auto"/>
        <w:jc w:val="both"/>
        <w:rPr>
          <w:rFonts w:eastAsia="Calibri" w:cstheme="minorHAnsi"/>
          <w:iCs/>
          <w:lang w:val="en-GB"/>
        </w:rPr>
      </w:pPr>
      <w:r w:rsidRPr="00DF01FF">
        <w:rPr>
          <w:rFonts w:eastAsia="Calibri" w:cstheme="minorHAnsi"/>
          <w:i/>
          <w:iCs/>
          <w:lang w:val="en-GB"/>
        </w:rPr>
        <w:t xml:space="preserve">International Judicial Cooperation </w:t>
      </w:r>
      <w:r w:rsidR="00736A67" w:rsidRPr="00612DDE">
        <w:rPr>
          <w:rFonts w:eastAsia="Calibri" w:cstheme="minorHAnsi"/>
          <w:iCs/>
          <w:lang w:val="en-GB"/>
        </w:rPr>
        <w:t>– In its 2019 concluding observations the UN Committee Against Torture</w:t>
      </w:r>
      <w:r w:rsidR="00736A67" w:rsidRPr="00DF01FF">
        <w:rPr>
          <w:rFonts w:eastAsia="Calibri" w:cstheme="minorHAnsi"/>
          <w:iCs/>
          <w:lang w:val="en-GB"/>
        </w:rPr>
        <w:t xml:space="preserve"> expressed serious</w:t>
      </w:r>
      <w:r w:rsidR="00736A67" w:rsidRPr="00DF01FF">
        <w:rPr>
          <w:rFonts w:eastAsia="Calibri" w:cstheme="minorHAnsi"/>
          <w:iCs/>
          <w:lang w:val="en-GB"/>
        </w:rPr>
        <w:t xml:space="preserve"> concern</w:t>
      </w:r>
      <w:r w:rsidR="00736A67" w:rsidRPr="00612DDE">
        <w:rPr>
          <w:rFonts w:eastAsia="Calibri" w:cstheme="minorHAnsi"/>
          <w:iCs/>
          <w:lang w:val="en-GB"/>
        </w:rPr>
        <w:t xml:space="preserve"> about the fact that Germany was refusing to extradite </w:t>
      </w:r>
      <w:r w:rsidR="00736A67" w:rsidRPr="00612DDE">
        <w:rPr>
          <w:rFonts w:eastAsia="Calibri" w:cstheme="minorHAnsi"/>
          <w:iCs/>
          <w:lang w:val="en-GB"/>
        </w:rPr>
        <w:t xml:space="preserve">persons suspected of crimes of torture in Chile, </w:t>
      </w:r>
      <w:r w:rsidR="00736A67" w:rsidRPr="00612DDE">
        <w:rPr>
          <w:rFonts w:eastAsia="Calibri" w:cstheme="minorHAnsi"/>
          <w:iCs/>
          <w:lang w:val="en-GB"/>
        </w:rPr>
        <w:t xml:space="preserve">but was </w:t>
      </w:r>
      <w:r w:rsidR="00736A67" w:rsidRPr="00612DDE">
        <w:rPr>
          <w:rFonts w:eastAsia="Calibri" w:cstheme="minorHAnsi"/>
          <w:iCs/>
          <w:lang w:val="en-GB"/>
        </w:rPr>
        <w:t>also reluctant to investigate these allegations and prosecute those resp</w:t>
      </w:r>
      <w:r w:rsidR="009B09D1" w:rsidRPr="00612DDE">
        <w:rPr>
          <w:rFonts w:eastAsia="Calibri" w:cstheme="minorHAnsi"/>
          <w:iCs/>
          <w:lang w:val="en-GB"/>
        </w:rPr>
        <w:t>onsible, on the grounds that those</w:t>
      </w:r>
      <w:r w:rsidR="00736A67" w:rsidRPr="00DF01FF">
        <w:rPr>
          <w:rFonts w:eastAsia="Calibri" w:cstheme="minorHAnsi"/>
          <w:iCs/>
          <w:lang w:val="en-GB"/>
        </w:rPr>
        <w:t xml:space="preserve"> crimes </w:t>
      </w:r>
      <w:r w:rsidR="00736A67" w:rsidRPr="00DF01FF">
        <w:rPr>
          <w:rFonts w:eastAsia="Calibri" w:cstheme="minorHAnsi"/>
          <w:iCs/>
          <w:lang w:val="en-GB"/>
        </w:rPr>
        <w:t>were</w:t>
      </w:r>
      <w:r w:rsidR="00736A67" w:rsidRPr="00DF01FF">
        <w:rPr>
          <w:rFonts w:eastAsia="Calibri" w:cstheme="minorHAnsi"/>
          <w:iCs/>
          <w:lang w:val="en-GB"/>
        </w:rPr>
        <w:t xml:space="preserve"> barred by the statute of limitations provided for in </w:t>
      </w:r>
      <w:r w:rsidR="00736A67" w:rsidRPr="00612DDE">
        <w:rPr>
          <w:rFonts w:eastAsia="Calibri" w:cstheme="minorHAnsi"/>
          <w:iCs/>
          <w:lang w:val="en-GB"/>
        </w:rPr>
        <w:t xml:space="preserve">criminal law. The Committee </w:t>
      </w:r>
      <w:r w:rsidR="00736A67" w:rsidRPr="00612DDE">
        <w:rPr>
          <w:rFonts w:eastAsia="Calibri" w:cstheme="minorHAnsi"/>
          <w:iCs/>
          <w:lang w:val="en-GB"/>
        </w:rPr>
        <w:t>was</w:t>
      </w:r>
      <w:r w:rsidR="00736A67" w:rsidRPr="00612DDE">
        <w:rPr>
          <w:rFonts w:eastAsia="Calibri" w:cstheme="minorHAnsi"/>
          <w:iCs/>
          <w:lang w:val="en-GB"/>
        </w:rPr>
        <w:t xml:space="preserve"> concerned that this situation </w:t>
      </w:r>
      <w:r w:rsidR="00736A67" w:rsidRPr="00612DDE">
        <w:rPr>
          <w:rFonts w:eastAsia="Calibri" w:cstheme="minorHAnsi"/>
          <w:iCs/>
          <w:lang w:val="en-GB"/>
        </w:rPr>
        <w:t>would</w:t>
      </w:r>
      <w:r w:rsidR="00736A67" w:rsidRPr="00612DDE">
        <w:rPr>
          <w:rFonts w:eastAsia="Calibri" w:cstheme="minorHAnsi"/>
          <w:iCs/>
          <w:lang w:val="en-GB"/>
        </w:rPr>
        <w:t xml:space="preserve"> give rise to impunity </w:t>
      </w:r>
      <w:r w:rsidR="00736A67" w:rsidRPr="00612DDE">
        <w:rPr>
          <w:rFonts w:eastAsia="Calibri" w:cstheme="minorHAnsi"/>
          <w:iCs/>
          <w:lang w:val="en-GB"/>
        </w:rPr>
        <w:t xml:space="preserve">and recommended that Germany </w:t>
      </w:r>
      <w:r w:rsidR="00736A67" w:rsidRPr="00612DDE">
        <w:rPr>
          <w:rFonts w:eastAsia="Calibri" w:cstheme="minorHAnsi"/>
          <w:iCs/>
          <w:lang w:val="en-GB"/>
        </w:rPr>
        <w:t>either extradite alleged perpetrators of torture and ill-treatment to a State with jurisdiction over the offence or to an international criminal tribunal, according to its international obligations, or prosecute them, in compliance with the provisions of the Convention</w:t>
      </w:r>
      <w:r w:rsidR="00736A67" w:rsidRPr="00612DDE">
        <w:rPr>
          <w:rFonts w:eastAsia="Calibri" w:cstheme="minorHAnsi"/>
          <w:iCs/>
          <w:lang w:val="en-GB"/>
        </w:rPr>
        <w:t xml:space="preserve"> </w:t>
      </w:r>
      <w:r w:rsidR="009B09D1" w:rsidRPr="00612DDE">
        <w:rPr>
          <w:rFonts w:eastAsia="Calibri" w:cstheme="minorHAnsi"/>
          <w:iCs/>
          <w:lang w:val="en-GB"/>
        </w:rPr>
        <w:t xml:space="preserve">against Torture and Other Cruel, Inhuman or Degrading Treatment or Punishment </w:t>
      </w:r>
      <w:r w:rsidR="00736A67" w:rsidRPr="00DF01FF">
        <w:rPr>
          <w:rFonts w:eastAsia="Calibri" w:cstheme="minorHAnsi"/>
          <w:iCs/>
          <w:lang w:val="en-GB"/>
        </w:rPr>
        <w:t xml:space="preserve">(See </w:t>
      </w:r>
      <w:hyperlink r:id="rId13" w:history="1">
        <w:r w:rsidR="00736A67" w:rsidRPr="00DF01FF">
          <w:rPr>
            <w:rStyle w:val="Hyperlink"/>
            <w:lang w:val="en-GB"/>
          </w:rPr>
          <w:t>CAT/C/DEU/CO/6</w:t>
        </w:r>
      </w:hyperlink>
      <w:r w:rsidR="00736A67" w:rsidRPr="00DF01FF">
        <w:rPr>
          <w:rFonts w:eastAsia="Calibri" w:cstheme="minorHAnsi"/>
          <w:iCs/>
          <w:lang w:val="en-GB"/>
        </w:rPr>
        <w:t>, para 19, 2</w:t>
      </w:r>
      <w:r w:rsidR="00736A67" w:rsidRPr="00612DDE">
        <w:rPr>
          <w:rFonts w:eastAsia="Calibri" w:cstheme="minorHAnsi"/>
          <w:iCs/>
          <w:lang w:val="en-GB"/>
        </w:rPr>
        <w:t>0)</w:t>
      </w:r>
    </w:p>
    <w:p w14:paraId="262FB638" w14:textId="2EB8E8A9" w:rsidR="00736A67" w:rsidRPr="00612DDE" w:rsidRDefault="00FE4BD6" w:rsidP="00612DDE">
      <w:pPr>
        <w:spacing w:line="240" w:lineRule="auto"/>
        <w:jc w:val="both"/>
        <w:rPr>
          <w:lang w:val="en-GB"/>
        </w:rPr>
      </w:pPr>
      <w:r w:rsidRPr="00612DDE">
        <w:rPr>
          <w:rFonts w:eastAsia="Calibri" w:cstheme="minorHAnsi"/>
          <w:i/>
          <w:iCs/>
          <w:lang w:val="en-GB"/>
        </w:rPr>
        <w:t>Universal Jurisdiction under International Law</w:t>
      </w:r>
      <w:r w:rsidRPr="00DF01FF">
        <w:rPr>
          <w:rFonts w:eastAsia="Calibri" w:cstheme="minorHAnsi"/>
          <w:iCs/>
          <w:lang w:val="en-GB"/>
        </w:rPr>
        <w:t xml:space="preserve"> </w:t>
      </w:r>
      <w:r w:rsidR="00736A67" w:rsidRPr="00DF01FF">
        <w:rPr>
          <w:rFonts w:eastAsia="Calibri" w:cstheme="minorHAnsi"/>
          <w:iCs/>
          <w:lang w:val="en-GB"/>
        </w:rPr>
        <w:t xml:space="preserve">- </w:t>
      </w:r>
      <w:r w:rsidR="00736A67" w:rsidRPr="00DF01FF">
        <w:rPr>
          <w:lang w:val="en-GB"/>
        </w:rPr>
        <w:t>On 24 February 2021, the higher regional court of Koblenz, Germany sentenced a former member of President al-Assad’s security services, Mr. Eyad al-Gharibto</w:t>
      </w:r>
      <w:r w:rsidR="00736A67" w:rsidRPr="00612DDE">
        <w:rPr>
          <w:lang w:val="en-GB"/>
        </w:rPr>
        <w:t xml:space="preserve"> for aiding and abetting crime against humanity in the form of torture and deprivation of liberty in Syria. </w:t>
      </w:r>
      <w:r w:rsidR="00736A67" w:rsidRPr="00612DDE">
        <w:rPr>
          <w:lang w:val="en-GB"/>
        </w:rPr>
        <w:t xml:space="preserve">The Office of the UN High Commissioner for Human Rights </w:t>
      </w:r>
      <w:hyperlink r:id="rId14" w:history="1">
        <w:r w:rsidR="00736A67" w:rsidRPr="00612DDE">
          <w:rPr>
            <w:rStyle w:val="Hyperlink"/>
            <w:lang w:val="en-GB"/>
          </w:rPr>
          <w:t>commended</w:t>
        </w:r>
      </w:hyperlink>
      <w:r w:rsidR="00736A67" w:rsidRPr="00612DDE">
        <w:rPr>
          <w:lang w:val="en-GB"/>
        </w:rPr>
        <w:t xml:space="preserve"> the </w:t>
      </w:r>
      <w:r w:rsidR="009B09D1" w:rsidRPr="00612DDE">
        <w:rPr>
          <w:lang w:val="en-GB"/>
        </w:rPr>
        <w:t>ruling</w:t>
      </w:r>
      <w:r w:rsidR="00736A67" w:rsidRPr="00612DDE">
        <w:rPr>
          <w:lang w:val="en-GB"/>
        </w:rPr>
        <w:t xml:space="preserve"> as a major step forward considering that with </w:t>
      </w:r>
      <w:r w:rsidR="00736A67" w:rsidRPr="00612DDE">
        <w:rPr>
          <w:lang w:val="en-GB"/>
        </w:rPr>
        <w:t>no international process under way, fair national courts can and should fill accountability gap for such crimes, wherever committed.</w:t>
      </w:r>
    </w:p>
    <w:p w14:paraId="2D467099" w14:textId="6FFC7235" w:rsidR="006A3B4C" w:rsidRPr="00DF01FF" w:rsidRDefault="00607414" w:rsidP="006E6E00">
      <w:pPr>
        <w:spacing w:line="240" w:lineRule="auto"/>
        <w:jc w:val="both"/>
        <w:rPr>
          <w:lang w:val="en-GB"/>
        </w:rPr>
      </w:pPr>
      <w:r w:rsidRPr="00DF01FF">
        <w:rPr>
          <w:rFonts w:eastAsia="Calibri" w:cstheme="minorHAnsi"/>
          <w:i/>
          <w:iCs/>
          <w:lang w:val="en-GB"/>
        </w:rPr>
        <w:t xml:space="preserve">Solitary confinement </w:t>
      </w:r>
      <w:r w:rsidR="00736A67" w:rsidRPr="00DF01FF">
        <w:rPr>
          <w:rFonts w:eastAsia="Calibri" w:cstheme="minorHAnsi"/>
          <w:i/>
          <w:iCs/>
          <w:lang w:val="en-GB"/>
        </w:rPr>
        <w:t xml:space="preserve">- </w:t>
      </w:r>
      <w:r w:rsidR="006A3B4C" w:rsidRPr="00612DDE">
        <w:rPr>
          <w:lang w:val="en-GB"/>
        </w:rPr>
        <w:t xml:space="preserve">In its 2019 concluding observations, the UN Committee against Torture expressed serious concern that in many Länder, solitary confinement may be imposed as a disciplinary measure for up to four weeks for adult prisoners, and two weeks for juveniles and young adults. The Committee recommended Germany to ensure that solitary confinement remains a measure of last resort, imposed for as short a time as possible and under strict supervision and judicial review with clear and specific criteria for its use. </w:t>
      </w:r>
      <w:r w:rsidR="009B09D1" w:rsidRPr="00612DDE">
        <w:rPr>
          <w:lang w:val="en-GB"/>
        </w:rPr>
        <w:t>It further recommended Germany</w:t>
      </w:r>
      <w:r w:rsidR="006A3B4C" w:rsidRPr="00612DDE">
        <w:rPr>
          <w:lang w:val="en-GB"/>
        </w:rPr>
        <w:t xml:space="preserve"> </w:t>
      </w:r>
      <w:r w:rsidR="009B09D1" w:rsidRPr="00612DDE">
        <w:rPr>
          <w:lang w:val="en-GB"/>
        </w:rPr>
        <w:t xml:space="preserve">to </w:t>
      </w:r>
      <w:r w:rsidR="006A3B4C" w:rsidRPr="00612DDE">
        <w:rPr>
          <w:lang w:val="en-GB"/>
        </w:rPr>
        <w:t>abolish solitary confinement of juveniles and young adults</w:t>
      </w:r>
      <w:r w:rsidR="009B09D1" w:rsidRPr="00612DDE">
        <w:rPr>
          <w:lang w:val="en-GB"/>
        </w:rPr>
        <w:t xml:space="preserve"> and </w:t>
      </w:r>
      <w:r w:rsidR="006A3B4C" w:rsidRPr="00612DDE">
        <w:rPr>
          <w:lang w:val="en-GB"/>
        </w:rPr>
        <w:t xml:space="preserve">bring its legislation and practice into line with international standards. (See </w:t>
      </w:r>
      <w:hyperlink r:id="rId15" w:history="1">
        <w:r w:rsidR="006A3B4C" w:rsidRPr="00DF01FF">
          <w:rPr>
            <w:rStyle w:val="Hyperlink"/>
            <w:lang w:val="en-GB"/>
          </w:rPr>
          <w:t>CAT/C/DEU/CO/6</w:t>
        </w:r>
      </w:hyperlink>
      <w:r w:rsidR="006A3B4C" w:rsidRPr="00DF01FF">
        <w:rPr>
          <w:lang w:val="en-GB"/>
        </w:rPr>
        <w:t>, para. 32, 33).</w:t>
      </w:r>
    </w:p>
    <w:p w14:paraId="3F87B2DE" w14:textId="1F7BF85D" w:rsidR="002B1761" w:rsidRPr="00DF01FF" w:rsidRDefault="00025654" w:rsidP="006E6E00">
      <w:pPr>
        <w:spacing w:line="240" w:lineRule="auto"/>
        <w:jc w:val="both"/>
        <w:rPr>
          <w:lang w:val="en-GB"/>
        </w:rPr>
      </w:pPr>
      <w:r w:rsidRPr="00DF01FF">
        <w:rPr>
          <w:rFonts w:eastAsia="Calibri" w:cstheme="minorHAnsi"/>
          <w:i/>
          <w:iCs/>
          <w:lang w:val="en-GB"/>
        </w:rPr>
        <w:t xml:space="preserve">Counter-terrorism and national security </w:t>
      </w:r>
      <w:r w:rsidR="009B09D1" w:rsidRPr="00DF01FF">
        <w:rPr>
          <w:rFonts w:eastAsia="Calibri" w:cstheme="minorHAnsi"/>
          <w:i/>
          <w:iCs/>
          <w:lang w:val="en-GB"/>
        </w:rPr>
        <w:t xml:space="preserve">- </w:t>
      </w:r>
      <w:r w:rsidR="002B1761" w:rsidRPr="00612DDE">
        <w:rPr>
          <w:rFonts w:eastAsia="Calibri" w:cstheme="minorHAnsi"/>
          <w:lang w:val="en-GB"/>
        </w:rPr>
        <w:t xml:space="preserve">In </w:t>
      </w:r>
      <w:r w:rsidR="002B1761" w:rsidRPr="00612DDE">
        <w:rPr>
          <w:lang w:val="en-GB"/>
        </w:rPr>
        <w:t xml:space="preserve">its 2019 </w:t>
      </w:r>
      <w:r w:rsidR="00017D47">
        <w:rPr>
          <w:lang w:val="en-GB"/>
        </w:rPr>
        <w:t>c</w:t>
      </w:r>
      <w:r w:rsidR="002B1761" w:rsidRPr="00DF01FF">
        <w:rPr>
          <w:lang w:val="en-GB"/>
        </w:rPr>
        <w:t xml:space="preserve">oncluding observations, the UN Committee against Torture expressed serious concern over </w:t>
      </w:r>
      <w:r w:rsidR="009B09D1" w:rsidRPr="00612DDE">
        <w:rPr>
          <w:lang w:val="en-GB"/>
        </w:rPr>
        <w:t>Germany’s</w:t>
      </w:r>
      <w:r w:rsidR="002B1761" w:rsidRPr="00612DDE">
        <w:rPr>
          <w:lang w:val="en-GB"/>
        </w:rPr>
        <w:t xml:space="preserve"> increasing reliance on “pre-emptive justice”. It recommended Germany to monitor and detain individuals suspected of terrorism only on the basis of a prior, individualized risk assessment, and that the detention of individuals suspected of terrorism </w:t>
      </w:r>
      <w:r w:rsidR="009B09D1" w:rsidRPr="00612DDE">
        <w:rPr>
          <w:lang w:val="en-GB"/>
        </w:rPr>
        <w:t>be</w:t>
      </w:r>
      <w:r w:rsidR="009B09D1" w:rsidRPr="00612DDE">
        <w:rPr>
          <w:lang w:val="en-GB"/>
        </w:rPr>
        <w:t xml:space="preserve"> </w:t>
      </w:r>
      <w:r w:rsidR="002B1761" w:rsidRPr="00612DDE">
        <w:rPr>
          <w:lang w:val="en-GB"/>
        </w:rPr>
        <w:t xml:space="preserve">in accordance with the requirements of the </w:t>
      </w:r>
      <w:r w:rsidR="009B09D1" w:rsidRPr="00612DDE">
        <w:rPr>
          <w:lang w:val="en-GB"/>
        </w:rPr>
        <w:t xml:space="preserve">Council of Europe’s </w:t>
      </w:r>
      <w:r w:rsidR="002B1761" w:rsidRPr="00612DDE">
        <w:rPr>
          <w:lang w:val="en-GB"/>
        </w:rPr>
        <w:t>Convention for the Protection of Human Rights and Fundamental Freedoms and t</w:t>
      </w:r>
      <w:r w:rsidR="009B09D1" w:rsidRPr="00612DDE">
        <w:rPr>
          <w:lang w:val="en-GB"/>
        </w:rPr>
        <w:t xml:space="preserve">he UN </w:t>
      </w:r>
      <w:r w:rsidR="002B1761" w:rsidRPr="00612DDE">
        <w:rPr>
          <w:lang w:val="en-GB"/>
        </w:rPr>
        <w:t xml:space="preserve">Nelson Mandela Rules. </w:t>
      </w:r>
      <w:r w:rsidR="009B09D1" w:rsidRPr="00612DDE">
        <w:rPr>
          <w:lang w:val="en-GB"/>
        </w:rPr>
        <w:t>It reminded that i</w:t>
      </w:r>
      <w:r w:rsidR="009B09D1" w:rsidRPr="00612DDE">
        <w:rPr>
          <w:lang w:val="en-GB"/>
        </w:rPr>
        <w:t xml:space="preserve">ndividuals </w:t>
      </w:r>
      <w:r w:rsidR="002B1761" w:rsidRPr="00612DDE">
        <w:rPr>
          <w:lang w:val="en-GB"/>
        </w:rPr>
        <w:t xml:space="preserve">suspected of terrorism </w:t>
      </w:r>
      <w:r w:rsidR="009B09D1" w:rsidRPr="00612DDE">
        <w:rPr>
          <w:lang w:val="en-GB"/>
        </w:rPr>
        <w:t>should</w:t>
      </w:r>
      <w:r w:rsidR="009B09D1" w:rsidRPr="00612DDE">
        <w:rPr>
          <w:lang w:val="en-GB"/>
        </w:rPr>
        <w:t xml:space="preserve"> </w:t>
      </w:r>
      <w:r w:rsidR="002B1761" w:rsidRPr="00612DDE">
        <w:rPr>
          <w:lang w:val="en-GB"/>
        </w:rPr>
        <w:t xml:space="preserve">have adequate access to legal representations and effective complaint mechanisms. (See </w:t>
      </w:r>
      <w:hyperlink r:id="rId16" w:history="1">
        <w:r w:rsidR="002B1761" w:rsidRPr="00DF01FF">
          <w:rPr>
            <w:rStyle w:val="Hyperlink"/>
            <w:lang w:val="en-GB"/>
          </w:rPr>
          <w:t>CAT/C/DEU/CO/6</w:t>
        </w:r>
      </w:hyperlink>
      <w:r w:rsidR="002B1761" w:rsidRPr="00DF01FF">
        <w:rPr>
          <w:lang w:val="en-GB"/>
        </w:rPr>
        <w:t xml:space="preserve">, para. 41, 42, 43, 44, 45, 46, 47). </w:t>
      </w:r>
    </w:p>
    <w:p w14:paraId="79AD8ACC" w14:textId="0B6AEAAE" w:rsidR="001B7CA2" w:rsidRPr="00DE39B5" w:rsidRDefault="001B7CA2" w:rsidP="006E6E00">
      <w:pPr>
        <w:spacing w:line="240" w:lineRule="auto"/>
        <w:jc w:val="both"/>
        <w:rPr>
          <w:lang w:val="en-GB"/>
        </w:rPr>
      </w:pPr>
      <w:r w:rsidRPr="00DE39B5">
        <w:rPr>
          <w:b/>
          <w:bCs/>
          <w:lang w:val="en-GB"/>
        </w:rPr>
        <w:t xml:space="preserve">II. Anti-corruption framework </w:t>
      </w:r>
    </w:p>
    <w:p w14:paraId="11B2B404" w14:textId="77777777" w:rsidR="001B7CA2" w:rsidRPr="00DE39B5" w:rsidRDefault="001B7CA2" w:rsidP="006E6E00">
      <w:pPr>
        <w:spacing w:line="240" w:lineRule="auto"/>
        <w:jc w:val="both"/>
        <w:rPr>
          <w:lang w:val="en-GB"/>
        </w:rPr>
      </w:pPr>
      <w:r w:rsidRPr="00DE39B5">
        <w:rPr>
          <w:b/>
          <w:bCs/>
          <w:i/>
          <w:iCs/>
          <w:lang w:val="en-GB"/>
        </w:rPr>
        <w:t xml:space="preserve">A. The institutional framework capacity to fight against corruption (prevention and investigation / prosecution) </w:t>
      </w:r>
    </w:p>
    <w:p w14:paraId="0FB0B354" w14:textId="77777777" w:rsidR="001B7CA2" w:rsidRPr="00DE39B5" w:rsidRDefault="001B7CA2" w:rsidP="006E6E00">
      <w:pPr>
        <w:spacing w:line="240" w:lineRule="auto"/>
        <w:jc w:val="both"/>
        <w:rPr>
          <w:lang w:val="en-GB"/>
        </w:rPr>
      </w:pPr>
      <w:r w:rsidRPr="00DE39B5">
        <w:rPr>
          <w:i/>
          <w:iCs/>
          <w:lang w:val="en-GB"/>
        </w:rPr>
        <w:t xml:space="preserve">18. List of relevant authorities (e.g. national agencies, bodies) in charge of prevention detection, investigation and prosecution of corruption. Please indicate the resources allocated to these (the human, financial, legal, and practical resources as relevant), e.g. in table format. </w:t>
      </w:r>
    </w:p>
    <w:p w14:paraId="08DC67FF" w14:textId="77777777" w:rsidR="001B7CA2" w:rsidRPr="00DE39B5" w:rsidRDefault="001B7CA2" w:rsidP="006E6E00">
      <w:pPr>
        <w:spacing w:line="240" w:lineRule="auto"/>
        <w:jc w:val="both"/>
        <w:rPr>
          <w:lang w:val="en-GB"/>
        </w:rPr>
      </w:pPr>
      <w:r w:rsidRPr="00DE39B5">
        <w:rPr>
          <w:b/>
          <w:bCs/>
          <w:i/>
          <w:iCs/>
          <w:lang w:val="en-GB"/>
        </w:rPr>
        <w:t xml:space="preserve">B. Prevention </w:t>
      </w:r>
    </w:p>
    <w:p w14:paraId="0A8E6A3F" w14:textId="77777777" w:rsidR="001B7CA2" w:rsidRPr="00DE39B5" w:rsidRDefault="001B7CA2" w:rsidP="006E6E00">
      <w:pPr>
        <w:spacing w:line="240" w:lineRule="auto"/>
        <w:jc w:val="both"/>
        <w:rPr>
          <w:lang w:val="en-GB"/>
        </w:rPr>
      </w:pPr>
      <w:r w:rsidRPr="00DE39B5">
        <w:rPr>
          <w:i/>
          <w:iCs/>
          <w:lang w:val="en-GB"/>
        </w:rPr>
        <w:t xml:space="preserve">19. Integrity framework including incompatibility rules (e.g.: revolving doors) </w:t>
      </w:r>
    </w:p>
    <w:p w14:paraId="148EA6BD" w14:textId="77777777" w:rsidR="001B7CA2" w:rsidRPr="00DE39B5" w:rsidRDefault="001B7CA2" w:rsidP="006E6E00">
      <w:pPr>
        <w:spacing w:line="240" w:lineRule="auto"/>
        <w:jc w:val="both"/>
        <w:rPr>
          <w:lang w:val="en-GB"/>
        </w:rPr>
      </w:pPr>
      <w:r w:rsidRPr="00DE39B5">
        <w:rPr>
          <w:i/>
          <w:iCs/>
          <w:lang w:val="en-GB"/>
        </w:rPr>
        <w:t xml:space="preserve">20. General transparency of public decision-making (including public access to information such as lobbying, asset disclosure rules and transparency of political party financing) </w:t>
      </w:r>
    </w:p>
    <w:p w14:paraId="3F9F6ED0" w14:textId="77777777" w:rsidR="001B7CA2" w:rsidRPr="00DE39B5" w:rsidRDefault="001B7CA2" w:rsidP="006E6E00">
      <w:pPr>
        <w:spacing w:line="240" w:lineRule="auto"/>
        <w:jc w:val="both"/>
        <w:rPr>
          <w:lang w:val="en-GB"/>
        </w:rPr>
      </w:pPr>
      <w:r w:rsidRPr="00DE39B5">
        <w:rPr>
          <w:i/>
          <w:iCs/>
          <w:lang w:val="en-GB"/>
        </w:rPr>
        <w:t xml:space="preserve">21. Rules on preventing conflict of interests in the public sector </w:t>
      </w:r>
    </w:p>
    <w:p w14:paraId="626AE658" w14:textId="77777777" w:rsidR="001B7CA2" w:rsidRPr="00DE39B5" w:rsidRDefault="001B7CA2" w:rsidP="006E6E00">
      <w:pPr>
        <w:spacing w:line="240" w:lineRule="auto"/>
        <w:jc w:val="both"/>
        <w:rPr>
          <w:lang w:val="en-GB"/>
        </w:rPr>
      </w:pPr>
      <w:r w:rsidRPr="00DE39B5">
        <w:rPr>
          <w:i/>
          <w:iCs/>
          <w:lang w:val="en-GB"/>
        </w:rPr>
        <w:t xml:space="preserve">22. Measures in place to ensure whistleblower protection and encourage reporting of corruption </w:t>
      </w:r>
    </w:p>
    <w:p w14:paraId="3A13B46E" w14:textId="77777777" w:rsidR="001B7CA2" w:rsidRPr="00DE39B5" w:rsidRDefault="001B7CA2" w:rsidP="006E6E00">
      <w:pPr>
        <w:spacing w:line="240" w:lineRule="auto"/>
        <w:jc w:val="both"/>
        <w:rPr>
          <w:lang w:val="en-GB"/>
        </w:rPr>
      </w:pPr>
      <w:r w:rsidRPr="00DE39B5">
        <w:rPr>
          <w:i/>
          <w:iCs/>
          <w:lang w:val="en-GB"/>
        </w:rPr>
        <w:t xml:space="preserve">23. List the sectors with high-risks of corruption in your Member State and list the relevant measures taken/envisaged for preventing corruption and conflict of interest in these sectors. (e.g. public procurement, healthcare, other). </w:t>
      </w:r>
    </w:p>
    <w:p w14:paraId="20FDC079" w14:textId="77777777" w:rsidR="001B7CA2" w:rsidRPr="00DE39B5" w:rsidRDefault="001B7CA2" w:rsidP="006E6E00">
      <w:pPr>
        <w:spacing w:line="240" w:lineRule="auto"/>
        <w:jc w:val="both"/>
        <w:rPr>
          <w:lang w:val="en-GB"/>
        </w:rPr>
      </w:pPr>
      <w:r w:rsidRPr="00DE39B5">
        <w:rPr>
          <w:i/>
          <w:iCs/>
          <w:lang w:val="en-GB"/>
        </w:rPr>
        <w:t xml:space="preserve">24. Measures taken to address corruption risks in the context of the COVID-19 pandemic. </w:t>
      </w:r>
    </w:p>
    <w:p w14:paraId="41CD93A2" w14:textId="77777777" w:rsidR="001B7CA2" w:rsidRPr="00DE39B5" w:rsidRDefault="001B7CA2" w:rsidP="006E6E00">
      <w:pPr>
        <w:spacing w:line="240" w:lineRule="auto"/>
        <w:jc w:val="both"/>
        <w:rPr>
          <w:lang w:val="en-GB"/>
        </w:rPr>
      </w:pPr>
      <w:r w:rsidRPr="00DE39B5">
        <w:rPr>
          <w:i/>
          <w:iCs/>
          <w:lang w:val="en-GB"/>
        </w:rPr>
        <w:t xml:space="preserve">25. Any other relevant measures to prevent corruption in public and private sector </w:t>
      </w:r>
    </w:p>
    <w:p w14:paraId="06A5981B" w14:textId="77777777" w:rsidR="001B7CA2" w:rsidRPr="00DE39B5" w:rsidRDefault="001B7CA2" w:rsidP="006E6E00">
      <w:pPr>
        <w:spacing w:line="240" w:lineRule="auto"/>
        <w:jc w:val="both"/>
        <w:rPr>
          <w:lang w:val="en-GB"/>
        </w:rPr>
      </w:pPr>
      <w:r w:rsidRPr="00DE39B5">
        <w:rPr>
          <w:b/>
          <w:bCs/>
          <w:i/>
          <w:iCs/>
          <w:lang w:val="en-GB"/>
        </w:rPr>
        <w:t xml:space="preserve">C. Repressive measures </w:t>
      </w:r>
    </w:p>
    <w:p w14:paraId="19C8E6A7" w14:textId="77777777" w:rsidR="001B7CA2" w:rsidRPr="00DE39B5" w:rsidRDefault="001B7CA2" w:rsidP="006E6E00">
      <w:pPr>
        <w:spacing w:line="240" w:lineRule="auto"/>
        <w:jc w:val="both"/>
        <w:rPr>
          <w:lang w:val="en-GB"/>
        </w:rPr>
      </w:pPr>
      <w:r w:rsidRPr="00DE39B5">
        <w:rPr>
          <w:i/>
          <w:iCs/>
          <w:lang w:val="en-GB"/>
        </w:rPr>
        <w:t xml:space="preserve">26. Criminalisation of corruption and related offences </w:t>
      </w:r>
    </w:p>
    <w:p w14:paraId="4B4559E7" w14:textId="77777777" w:rsidR="001B7CA2" w:rsidRPr="00DE39B5" w:rsidRDefault="001B7CA2" w:rsidP="006E6E00">
      <w:pPr>
        <w:spacing w:line="240" w:lineRule="auto"/>
        <w:jc w:val="both"/>
        <w:rPr>
          <w:lang w:val="en-GB"/>
        </w:rPr>
      </w:pPr>
      <w:r w:rsidRPr="00DE39B5">
        <w:rPr>
          <w:i/>
          <w:iCs/>
          <w:lang w:val="en-GB"/>
        </w:rPr>
        <w:t xml:space="preserve">27. Data on investigation and application of sanctions for corruption offences (including for legal persons and high level and complex corruption cases) and their transparency, including as regards to the implementation of EU funds. </w:t>
      </w:r>
    </w:p>
    <w:p w14:paraId="3E96C677" w14:textId="77777777" w:rsidR="001B7CA2" w:rsidRPr="00DE39B5" w:rsidRDefault="001B7CA2" w:rsidP="006E6E00">
      <w:pPr>
        <w:spacing w:line="240" w:lineRule="auto"/>
        <w:jc w:val="both"/>
        <w:rPr>
          <w:lang w:val="en-GB"/>
        </w:rPr>
      </w:pPr>
      <w:r w:rsidRPr="00DE39B5">
        <w:rPr>
          <w:i/>
          <w:iCs/>
          <w:lang w:val="en-GB"/>
        </w:rPr>
        <w:t xml:space="preserve">28. Potential obstacles to investigation and prosecution of high-level and complex corruption cases (e.g. political immunity regulation) </w:t>
      </w:r>
    </w:p>
    <w:p w14:paraId="2309AE15" w14:textId="77777777" w:rsidR="002043C9" w:rsidRDefault="001B7CA2" w:rsidP="006E6E00">
      <w:pPr>
        <w:tabs>
          <w:tab w:val="left" w:pos="3753"/>
        </w:tabs>
        <w:spacing w:line="240" w:lineRule="auto"/>
        <w:jc w:val="both"/>
        <w:rPr>
          <w:b/>
          <w:bCs/>
          <w:i/>
          <w:iCs/>
          <w:lang w:val="en-GB"/>
        </w:rPr>
      </w:pPr>
      <w:r w:rsidRPr="00DE39B5">
        <w:rPr>
          <w:b/>
          <w:bCs/>
          <w:i/>
          <w:iCs/>
          <w:lang w:val="en-GB"/>
        </w:rPr>
        <w:t xml:space="preserve">Other – please specify </w:t>
      </w:r>
    </w:p>
    <w:p w14:paraId="2F09CC61" w14:textId="15814F66" w:rsidR="001B7CA2" w:rsidRPr="00DE39B5" w:rsidRDefault="001B7CA2" w:rsidP="006E6E00">
      <w:pPr>
        <w:spacing w:line="240" w:lineRule="auto"/>
        <w:jc w:val="both"/>
        <w:rPr>
          <w:lang w:val="en-GB"/>
        </w:rPr>
      </w:pPr>
      <w:r w:rsidRPr="00DE39B5">
        <w:rPr>
          <w:b/>
          <w:bCs/>
          <w:lang w:val="en-GB"/>
        </w:rPr>
        <w:t xml:space="preserve">III. Media pluralism </w:t>
      </w:r>
    </w:p>
    <w:p w14:paraId="25F27A5C" w14:textId="77777777" w:rsidR="001B7CA2" w:rsidRPr="00DE39B5" w:rsidRDefault="001B7CA2" w:rsidP="006E6E00">
      <w:pPr>
        <w:spacing w:line="240" w:lineRule="auto"/>
        <w:jc w:val="both"/>
        <w:rPr>
          <w:lang w:val="en-GB"/>
        </w:rPr>
      </w:pPr>
      <w:r w:rsidRPr="00DE39B5">
        <w:rPr>
          <w:b/>
          <w:bCs/>
          <w:i/>
          <w:iCs/>
          <w:lang w:val="en-GB"/>
        </w:rPr>
        <w:t xml:space="preserve">A. Media authorities and bodies </w:t>
      </w:r>
    </w:p>
    <w:p w14:paraId="624CDC15" w14:textId="77777777" w:rsidR="001B7CA2" w:rsidRPr="00DE39B5" w:rsidRDefault="001B7CA2" w:rsidP="006E6E00">
      <w:pPr>
        <w:spacing w:line="240" w:lineRule="auto"/>
        <w:jc w:val="both"/>
        <w:rPr>
          <w:lang w:val="en-GB"/>
        </w:rPr>
      </w:pPr>
      <w:r w:rsidRPr="00DE39B5">
        <w:rPr>
          <w:i/>
          <w:iCs/>
          <w:lang w:val="en-GB"/>
        </w:rPr>
        <w:t xml:space="preserve">29. Independence, enforcement powers and adequacy of resources of media regulatory authorities and bodies </w:t>
      </w:r>
    </w:p>
    <w:p w14:paraId="39A40877" w14:textId="77777777" w:rsidR="001B7CA2" w:rsidRPr="00DE39B5" w:rsidRDefault="001B7CA2" w:rsidP="006E6E00">
      <w:pPr>
        <w:spacing w:line="240" w:lineRule="auto"/>
        <w:jc w:val="both"/>
        <w:rPr>
          <w:lang w:val="en-GB"/>
        </w:rPr>
      </w:pPr>
      <w:r w:rsidRPr="00DE39B5">
        <w:rPr>
          <w:i/>
          <w:iCs/>
          <w:lang w:val="en-GB"/>
        </w:rPr>
        <w:t xml:space="preserve">30. Conditions and procedures for the appointment and dismissal of the head / members of the collegiate body of media regulatory authorities and bodies </w:t>
      </w:r>
    </w:p>
    <w:p w14:paraId="64E59A37" w14:textId="77777777" w:rsidR="001B7CA2" w:rsidRPr="00DE39B5" w:rsidRDefault="001B7CA2" w:rsidP="006E6E00">
      <w:pPr>
        <w:spacing w:line="240" w:lineRule="auto"/>
        <w:jc w:val="both"/>
        <w:rPr>
          <w:lang w:val="en-GB"/>
        </w:rPr>
      </w:pPr>
      <w:r w:rsidRPr="00DE39B5">
        <w:rPr>
          <w:i/>
          <w:iCs/>
          <w:lang w:val="en-GB"/>
        </w:rPr>
        <w:t xml:space="preserve">31. Existence and functions of media councils or other self-regulatory bodies </w:t>
      </w:r>
    </w:p>
    <w:p w14:paraId="575A19C7" w14:textId="77777777" w:rsidR="001B7CA2" w:rsidRPr="00DE39B5" w:rsidRDefault="001B7CA2" w:rsidP="006E6E00">
      <w:pPr>
        <w:spacing w:line="240" w:lineRule="auto"/>
        <w:jc w:val="both"/>
        <w:rPr>
          <w:lang w:val="en-GB"/>
        </w:rPr>
      </w:pPr>
      <w:r w:rsidRPr="00DE39B5">
        <w:rPr>
          <w:b/>
          <w:bCs/>
          <w:i/>
          <w:iCs/>
          <w:lang w:val="en-GB"/>
        </w:rPr>
        <w:t xml:space="preserve">B. Transparency of media ownership and government interference </w:t>
      </w:r>
    </w:p>
    <w:p w14:paraId="369BD36A" w14:textId="77777777" w:rsidR="001B7CA2" w:rsidRPr="00DE39B5" w:rsidRDefault="001B7CA2" w:rsidP="006E6E00">
      <w:pPr>
        <w:spacing w:line="240" w:lineRule="auto"/>
        <w:jc w:val="both"/>
        <w:rPr>
          <w:lang w:val="en-GB"/>
        </w:rPr>
      </w:pPr>
      <w:r w:rsidRPr="00DE39B5">
        <w:rPr>
          <w:i/>
          <w:iCs/>
          <w:lang w:val="en-GB"/>
        </w:rPr>
        <w:t xml:space="preserve">32. The transparent allocation of state advertising (including any rules regulating the matter); other safeguards against state / political interference </w:t>
      </w:r>
    </w:p>
    <w:p w14:paraId="130A6779" w14:textId="77777777" w:rsidR="001B7CA2" w:rsidRPr="00DE39B5" w:rsidRDefault="001B7CA2" w:rsidP="006E6E00">
      <w:pPr>
        <w:spacing w:line="240" w:lineRule="auto"/>
        <w:jc w:val="both"/>
        <w:rPr>
          <w:lang w:val="en-GB"/>
        </w:rPr>
      </w:pPr>
      <w:r w:rsidRPr="00DE39B5">
        <w:rPr>
          <w:i/>
          <w:iCs/>
          <w:lang w:val="en-GB"/>
        </w:rPr>
        <w:t xml:space="preserve">33. Rules governing transparency of media ownership and public availability of media ownership information </w:t>
      </w:r>
    </w:p>
    <w:p w14:paraId="113037E5" w14:textId="77777777" w:rsidR="001B7CA2" w:rsidRPr="00DE39B5" w:rsidRDefault="001B7CA2" w:rsidP="006E6E00">
      <w:pPr>
        <w:spacing w:line="240" w:lineRule="auto"/>
        <w:jc w:val="both"/>
        <w:rPr>
          <w:lang w:val="en-GB"/>
        </w:rPr>
      </w:pPr>
      <w:r w:rsidRPr="00DE39B5">
        <w:rPr>
          <w:b/>
          <w:bCs/>
          <w:i/>
          <w:iCs/>
          <w:lang w:val="en-GB"/>
        </w:rPr>
        <w:t xml:space="preserve">C. Framework for journalists' protection </w:t>
      </w:r>
    </w:p>
    <w:p w14:paraId="01DD02BE" w14:textId="77777777" w:rsidR="001B7CA2" w:rsidRPr="00DE39B5" w:rsidRDefault="001B7CA2" w:rsidP="006E6E00">
      <w:pPr>
        <w:spacing w:line="240" w:lineRule="auto"/>
        <w:jc w:val="both"/>
        <w:rPr>
          <w:lang w:val="en-GB"/>
        </w:rPr>
      </w:pPr>
      <w:r w:rsidRPr="00DE39B5">
        <w:rPr>
          <w:i/>
          <w:iCs/>
          <w:lang w:val="en-GB"/>
        </w:rPr>
        <w:t xml:space="preserve">34. Rules and practices guaranteeing journalist's independence and safety </w:t>
      </w:r>
    </w:p>
    <w:p w14:paraId="16BEEF7E" w14:textId="77777777" w:rsidR="001B7CA2" w:rsidRPr="00DE39B5" w:rsidRDefault="001B7CA2" w:rsidP="006E6E00">
      <w:pPr>
        <w:spacing w:line="240" w:lineRule="auto"/>
        <w:jc w:val="both"/>
        <w:rPr>
          <w:lang w:val="en-GB"/>
        </w:rPr>
      </w:pPr>
      <w:r w:rsidRPr="00DE39B5">
        <w:rPr>
          <w:i/>
          <w:iCs/>
          <w:lang w:val="en-GB"/>
        </w:rPr>
        <w:t xml:space="preserve">35. Law enforcement capacity to ensure journalists' safety and to investigate attacks on journalists </w:t>
      </w:r>
    </w:p>
    <w:p w14:paraId="35F67EA8" w14:textId="77777777" w:rsidR="001B7CA2" w:rsidRPr="00DE39B5" w:rsidRDefault="001B7CA2" w:rsidP="006E6E00">
      <w:pPr>
        <w:spacing w:line="240" w:lineRule="auto"/>
        <w:jc w:val="both"/>
        <w:rPr>
          <w:lang w:val="en-GB"/>
        </w:rPr>
      </w:pPr>
      <w:r w:rsidRPr="00DE39B5">
        <w:rPr>
          <w:i/>
          <w:iCs/>
          <w:lang w:val="en-GB"/>
        </w:rPr>
        <w:t xml:space="preserve">36. Access to information and public documents </w:t>
      </w:r>
    </w:p>
    <w:p w14:paraId="4C65C142" w14:textId="77777777" w:rsidR="001B7CA2" w:rsidRPr="00DE39B5" w:rsidRDefault="001B7CA2" w:rsidP="006E6E00">
      <w:pPr>
        <w:spacing w:line="240" w:lineRule="auto"/>
        <w:jc w:val="both"/>
        <w:rPr>
          <w:lang w:val="en-GB"/>
        </w:rPr>
      </w:pPr>
      <w:r w:rsidRPr="00DE39B5">
        <w:rPr>
          <w:i/>
          <w:iCs/>
          <w:lang w:val="en-GB"/>
        </w:rPr>
        <w:t xml:space="preserve">37. Lawsuits and convictions against journalists (incl. defamation cases) and safeguards against abuse </w:t>
      </w:r>
    </w:p>
    <w:p w14:paraId="76B3CCBA" w14:textId="77777777" w:rsidR="001B7CA2" w:rsidRPr="00DE39B5" w:rsidRDefault="001B7CA2" w:rsidP="006E6E00">
      <w:pPr>
        <w:spacing w:line="240" w:lineRule="auto"/>
        <w:jc w:val="both"/>
        <w:rPr>
          <w:lang w:val="en-GB"/>
        </w:rPr>
      </w:pPr>
      <w:r w:rsidRPr="00DE39B5">
        <w:rPr>
          <w:b/>
          <w:bCs/>
          <w:i/>
          <w:iCs/>
          <w:lang w:val="en-GB"/>
        </w:rPr>
        <w:t xml:space="preserve">Other – please specify </w:t>
      </w:r>
    </w:p>
    <w:p w14:paraId="6AC1EDE9" w14:textId="77777777" w:rsidR="001B7CA2" w:rsidRPr="00DE39B5" w:rsidRDefault="001B7CA2" w:rsidP="006E6E00">
      <w:pPr>
        <w:spacing w:line="240" w:lineRule="auto"/>
        <w:jc w:val="both"/>
        <w:rPr>
          <w:lang w:val="en-GB"/>
        </w:rPr>
      </w:pPr>
      <w:r w:rsidRPr="00DE39B5">
        <w:rPr>
          <w:b/>
          <w:bCs/>
          <w:lang w:val="en-GB"/>
        </w:rPr>
        <w:t xml:space="preserve">IV. Other institutional issues related to checks and balances </w:t>
      </w:r>
    </w:p>
    <w:p w14:paraId="2CD0E4AE" w14:textId="77777777" w:rsidR="001B7CA2" w:rsidRPr="00DE39B5" w:rsidRDefault="001B7CA2" w:rsidP="006E6E00">
      <w:pPr>
        <w:spacing w:line="240" w:lineRule="auto"/>
        <w:jc w:val="both"/>
        <w:rPr>
          <w:lang w:val="en-GB"/>
        </w:rPr>
      </w:pPr>
      <w:r w:rsidRPr="00DE39B5">
        <w:rPr>
          <w:b/>
          <w:bCs/>
          <w:i/>
          <w:iCs/>
          <w:lang w:val="en-GB"/>
        </w:rPr>
        <w:t xml:space="preserve">A. The process for preparing and enacting laws </w:t>
      </w:r>
    </w:p>
    <w:p w14:paraId="64E1A34D" w14:textId="77FE2E7A" w:rsidR="001B7CA2" w:rsidRPr="00DE39B5" w:rsidRDefault="001B7CA2" w:rsidP="006E6E00">
      <w:pPr>
        <w:spacing w:line="240" w:lineRule="auto"/>
        <w:jc w:val="both"/>
        <w:rPr>
          <w:i/>
          <w:iCs/>
          <w:lang w:val="en-GB"/>
        </w:rPr>
      </w:pPr>
      <w:r w:rsidRPr="00DE39B5">
        <w:rPr>
          <w:i/>
          <w:iCs/>
          <w:lang w:val="en-GB"/>
        </w:rPr>
        <w:t xml:space="preserve">38. Framework, policy and use of impact assessments, stakeholders'/public consultations (particularly consultation of judiciary on judicial reforms), and transparency and quality of the legislative process </w:t>
      </w:r>
    </w:p>
    <w:p w14:paraId="0F36D942" w14:textId="2F99FE3F" w:rsidR="00EF4DF8" w:rsidRDefault="001B7CA2" w:rsidP="006E6E00">
      <w:pPr>
        <w:spacing w:line="240" w:lineRule="auto"/>
        <w:jc w:val="both"/>
        <w:rPr>
          <w:i/>
          <w:iCs/>
          <w:lang w:val="en-GB"/>
        </w:rPr>
      </w:pPr>
      <w:r w:rsidRPr="00DE39B5">
        <w:rPr>
          <w:i/>
          <w:iCs/>
          <w:lang w:val="en-GB"/>
        </w:rPr>
        <w:t xml:space="preserve">39. Rules and use of fast-track procedures and emergency procedures (for example, the percentage of decisions adopted through emergency/urgent procedure compared to the total number of adopted decisions) </w:t>
      </w:r>
    </w:p>
    <w:p w14:paraId="529FAD71" w14:textId="77777777" w:rsidR="001B7CA2" w:rsidRPr="00DE39B5" w:rsidRDefault="001B7CA2" w:rsidP="006E6E00">
      <w:pPr>
        <w:spacing w:line="240" w:lineRule="auto"/>
        <w:jc w:val="both"/>
        <w:rPr>
          <w:lang w:val="en-GB"/>
        </w:rPr>
      </w:pPr>
      <w:r w:rsidRPr="00DE39B5">
        <w:rPr>
          <w:i/>
          <w:iCs/>
          <w:lang w:val="en-GB"/>
        </w:rPr>
        <w:t xml:space="preserve">40. Regime for constitutional review of laws </w:t>
      </w:r>
    </w:p>
    <w:p w14:paraId="52CD9F57" w14:textId="77777777" w:rsidR="001B7CA2" w:rsidRPr="00DE39B5" w:rsidRDefault="001B7CA2" w:rsidP="006E6E00">
      <w:pPr>
        <w:spacing w:line="240" w:lineRule="auto"/>
        <w:jc w:val="both"/>
        <w:rPr>
          <w:lang w:val="en-GB"/>
        </w:rPr>
      </w:pPr>
      <w:r w:rsidRPr="00DE39B5">
        <w:rPr>
          <w:i/>
          <w:iCs/>
          <w:lang w:val="en-GB"/>
        </w:rPr>
        <w:t xml:space="preserve">41. COVID-19: provide update on significant developments with regard to emergency regimes in the context of the COVID-19 pandemic </w:t>
      </w:r>
    </w:p>
    <w:p w14:paraId="3566BDE6" w14:textId="77777777" w:rsidR="001B7CA2" w:rsidRPr="00DE39B5" w:rsidRDefault="001B7CA2" w:rsidP="006E6E00">
      <w:pPr>
        <w:spacing w:line="240" w:lineRule="auto"/>
        <w:jc w:val="both"/>
        <w:rPr>
          <w:lang w:val="en-GB"/>
        </w:rPr>
      </w:pPr>
      <w:r w:rsidRPr="00DE39B5">
        <w:rPr>
          <w:lang w:val="en-GB"/>
        </w:rPr>
        <w:t xml:space="preserve">- </w:t>
      </w:r>
      <w:r w:rsidRPr="00DE39B5">
        <w:rPr>
          <w:i/>
          <w:iCs/>
          <w:lang w:val="en-GB"/>
        </w:rPr>
        <w:t xml:space="preserve">judicial review (including constitutional review) of emergency regimes and measures in the context of COVID-19 pandemic </w:t>
      </w:r>
    </w:p>
    <w:p w14:paraId="418FEC9B" w14:textId="77777777" w:rsidR="001B7CA2" w:rsidRPr="00DE39B5" w:rsidRDefault="001B7CA2" w:rsidP="006E6E00">
      <w:pPr>
        <w:spacing w:line="240" w:lineRule="auto"/>
        <w:jc w:val="both"/>
        <w:rPr>
          <w:lang w:val="en-GB"/>
        </w:rPr>
      </w:pPr>
      <w:r w:rsidRPr="00DE39B5">
        <w:rPr>
          <w:lang w:val="en-GB"/>
        </w:rPr>
        <w:t xml:space="preserve">- </w:t>
      </w:r>
      <w:r w:rsidRPr="00DE39B5">
        <w:rPr>
          <w:i/>
          <w:iCs/>
          <w:lang w:val="en-GB"/>
        </w:rPr>
        <w:t xml:space="preserve">oversight by Parliament of emergency regimes and measures in the context of COVID-19 pandemic </w:t>
      </w:r>
    </w:p>
    <w:p w14:paraId="4974DE29" w14:textId="77777777" w:rsidR="001B7CA2" w:rsidRPr="00DE39B5" w:rsidRDefault="001B7CA2" w:rsidP="006E6E00">
      <w:pPr>
        <w:spacing w:line="240" w:lineRule="auto"/>
        <w:jc w:val="both"/>
        <w:rPr>
          <w:lang w:val="en-GB"/>
        </w:rPr>
      </w:pPr>
      <w:r w:rsidRPr="00DE39B5">
        <w:rPr>
          <w:lang w:val="en-GB"/>
        </w:rPr>
        <w:t xml:space="preserve">- </w:t>
      </w:r>
      <w:r w:rsidRPr="00DE39B5">
        <w:rPr>
          <w:i/>
          <w:iCs/>
          <w:lang w:val="en-GB"/>
        </w:rPr>
        <w:t xml:space="preserve">measures taken to ensure the continued activity of Parliament (including possible best practices) </w:t>
      </w:r>
    </w:p>
    <w:p w14:paraId="237B9B4B" w14:textId="77777777" w:rsidR="001B7CA2" w:rsidRPr="00DE39B5" w:rsidRDefault="001B7CA2" w:rsidP="006E6E00">
      <w:pPr>
        <w:spacing w:line="240" w:lineRule="auto"/>
        <w:jc w:val="both"/>
        <w:rPr>
          <w:lang w:val="en-GB"/>
        </w:rPr>
      </w:pPr>
      <w:r w:rsidRPr="00DE39B5">
        <w:rPr>
          <w:b/>
          <w:bCs/>
          <w:i/>
          <w:iCs/>
          <w:lang w:val="en-GB"/>
        </w:rPr>
        <w:t xml:space="preserve">B. Independent authorities </w:t>
      </w:r>
    </w:p>
    <w:p w14:paraId="25D40A66" w14:textId="33AC4785" w:rsidR="001B7CA2" w:rsidRPr="00DE39B5" w:rsidRDefault="001B7CA2" w:rsidP="006E6E00">
      <w:pPr>
        <w:spacing w:line="240" w:lineRule="auto"/>
        <w:jc w:val="both"/>
        <w:rPr>
          <w:i/>
          <w:iCs/>
          <w:lang w:val="en-GB"/>
        </w:rPr>
      </w:pPr>
      <w:r w:rsidRPr="00DE39B5">
        <w:rPr>
          <w:i/>
          <w:iCs/>
          <w:lang w:val="en-GB"/>
        </w:rPr>
        <w:t>42. Independence, capacity and powers of national human rights institutions (‘NHRIs’), of ombudsman institutions if different from NHRIs, of equality bodies if different from NHRIs and of supreme audit institutions</w:t>
      </w:r>
    </w:p>
    <w:p w14:paraId="5AF6BFC9" w14:textId="3476219C" w:rsidR="00DF01FF" w:rsidRDefault="00BB26FB" w:rsidP="006E6E00">
      <w:pPr>
        <w:spacing w:line="240" w:lineRule="auto"/>
        <w:jc w:val="both"/>
        <w:rPr>
          <w:rFonts w:eastAsia="Calibri" w:cstheme="minorHAnsi"/>
          <w:iCs/>
          <w:lang w:val="en-GB"/>
        </w:rPr>
      </w:pPr>
      <w:r w:rsidRPr="00DE39B5">
        <w:rPr>
          <w:lang w:val="en-GB"/>
        </w:rPr>
        <w:t xml:space="preserve">In its </w:t>
      </w:r>
      <w:r w:rsidR="005461E9">
        <w:rPr>
          <w:lang w:val="en-GB"/>
        </w:rPr>
        <w:t>2019</w:t>
      </w:r>
      <w:r w:rsidRPr="00DE39B5">
        <w:rPr>
          <w:lang w:val="en-GB"/>
        </w:rPr>
        <w:t xml:space="preserve"> </w:t>
      </w:r>
      <w:r w:rsidR="00017D47">
        <w:rPr>
          <w:lang w:val="en-GB"/>
        </w:rPr>
        <w:t>c</w:t>
      </w:r>
      <w:r w:rsidRPr="00DE39B5">
        <w:rPr>
          <w:lang w:val="en-GB"/>
        </w:rPr>
        <w:t xml:space="preserve">oncluding </w:t>
      </w:r>
      <w:r w:rsidR="002B407D" w:rsidRPr="00DE39B5">
        <w:rPr>
          <w:lang w:val="en-GB"/>
        </w:rPr>
        <w:t>o</w:t>
      </w:r>
      <w:r w:rsidRPr="00DE39B5">
        <w:rPr>
          <w:lang w:val="en-GB"/>
        </w:rPr>
        <w:t>bservations, the</w:t>
      </w:r>
      <w:r w:rsidR="005461E9">
        <w:rPr>
          <w:lang w:val="en-GB"/>
        </w:rPr>
        <w:t xml:space="preserve"> UN</w:t>
      </w:r>
      <w:r w:rsidRPr="00DE39B5">
        <w:rPr>
          <w:lang w:val="en-GB"/>
        </w:rPr>
        <w:t xml:space="preserve"> </w:t>
      </w:r>
      <w:r w:rsidR="005461E9">
        <w:rPr>
          <w:lang w:val="en-GB"/>
        </w:rPr>
        <w:t xml:space="preserve">Committee against Torture welcomed the establishment of the German Institute for Human Rights as Germany’s national human rights institution in accordance with </w:t>
      </w:r>
      <w:r w:rsidR="005461E9" w:rsidRPr="005461E9">
        <w:rPr>
          <w:lang w:val="en-GB"/>
        </w:rPr>
        <w:t xml:space="preserve">the Paris Principles. </w:t>
      </w:r>
      <w:r w:rsidR="005461E9">
        <w:rPr>
          <w:lang w:val="en-GB"/>
        </w:rPr>
        <w:t>However, the Committee regretted that the Institute is not designated to monitor</w:t>
      </w:r>
      <w:r w:rsidR="00017D47">
        <w:rPr>
          <w:lang w:val="en-GB"/>
        </w:rPr>
        <w:t xml:space="preserve"> Germany’s</w:t>
      </w:r>
      <w:r w:rsidR="005461E9">
        <w:rPr>
          <w:lang w:val="en-GB"/>
        </w:rPr>
        <w:t xml:space="preserve"> compliance with the Convention </w:t>
      </w:r>
      <w:r w:rsidR="00017D47" w:rsidRPr="00C55CA2">
        <w:rPr>
          <w:rFonts w:eastAsia="Calibri" w:cstheme="minorHAnsi"/>
          <w:iCs/>
          <w:lang w:val="en-GB"/>
        </w:rPr>
        <w:t>against Torture and Other Cruel, Inhuman or Degrading Treatment or Punishment</w:t>
      </w:r>
      <w:r w:rsidR="00DF01FF">
        <w:rPr>
          <w:rFonts w:eastAsia="Calibri" w:cstheme="minorHAnsi"/>
          <w:iCs/>
          <w:lang w:val="en-GB"/>
        </w:rPr>
        <w:t xml:space="preserve">. </w:t>
      </w:r>
    </w:p>
    <w:p w14:paraId="5EE0D52E" w14:textId="7490F93E" w:rsidR="00EE0BEE" w:rsidRDefault="00DF01FF" w:rsidP="006E6E00">
      <w:pPr>
        <w:spacing w:line="240" w:lineRule="auto"/>
        <w:jc w:val="both"/>
        <w:rPr>
          <w:lang w:val="en-GB"/>
        </w:rPr>
      </w:pPr>
      <w:r>
        <w:rPr>
          <w:lang w:val="en-GB"/>
        </w:rPr>
        <w:t>T</w:t>
      </w:r>
      <w:r w:rsidR="00135A29" w:rsidRPr="00DE39B5">
        <w:rPr>
          <w:lang w:val="en-GB"/>
        </w:rPr>
        <w:t>he</w:t>
      </w:r>
      <w:r w:rsidR="00135A29">
        <w:rPr>
          <w:lang w:val="en-GB"/>
        </w:rPr>
        <w:t xml:space="preserve"> Committee </w:t>
      </w:r>
      <w:r>
        <w:rPr>
          <w:lang w:val="en-GB"/>
        </w:rPr>
        <w:t xml:space="preserve">also </w:t>
      </w:r>
      <w:r w:rsidR="00135A29">
        <w:rPr>
          <w:lang w:val="en-GB"/>
        </w:rPr>
        <w:t>welcomed the establishment of ombudspersons in several Länder to facilitate the independent and impartial investigation of allegations of criminal conduct by police officers</w:t>
      </w:r>
      <w:r>
        <w:rPr>
          <w:lang w:val="en-GB"/>
        </w:rPr>
        <w:t xml:space="preserve">, but </w:t>
      </w:r>
      <w:r w:rsidR="00135A29">
        <w:rPr>
          <w:lang w:val="en-GB"/>
        </w:rPr>
        <w:t>remained concern</w:t>
      </w:r>
      <w:r>
        <w:rPr>
          <w:lang w:val="en-GB"/>
        </w:rPr>
        <w:t>ed about the lack of such mechanisms</w:t>
      </w:r>
      <w:r w:rsidR="00135A29">
        <w:rPr>
          <w:lang w:val="en-GB"/>
        </w:rPr>
        <w:t xml:space="preserve"> in other Länder and at the federal level. It encouraged Germany to establish, at the federal and Länder levels, independent bodies to investigate all complaints of police misconduct and ensure that such complaints are promptly and thoroughly investigated. (See </w:t>
      </w:r>
      <w:hyperlink r:id="rId17" w:history="1">
        <w:r w:rsidR="00135A29" w:rsidRPr="00C35057">
          <w:rPr>
            <w:rStyle w:val="Hyperlink"/>
            <w:lang w:val="en-GB"/>
          </w:rPr>
          <w:t>CAT/C/DEU/CO/6</w:t>
        </w:r>
      </w:hyperlink>
      <w:r w:rsidR="00135A29">
        <w:rPr>
          <w:lang w:val="en-GB"/>
        </w:rPr>
        <w:t>, para</w:t>
      </w:r>
      <w:r>
        <w:rPr>
          <w:lang w:val="en-GB"/>
        </w:rPr>
        <w:t xml:space="preserve"> 17, 18,</w:t>
      </w:r>
      <w:r w:rsidR="00135A29">
        <w:rPr>
          <w:lang w:val="en-GB"/>
        </w:rPr>
        <w:t xml:space="preserve"> 37, 39). </w:t>
      </w:r>
      <w:r>
        <w:rPr>
          <w:lang w:val="en-GB"/>
        </w:rPr>
        <w:t>At its 2018</w:t>
      </w:r>
      <w:r>
        <w:rPr>
          <w:lang w:val="en-GB"/>
        </w:rPr>
        <w:t xml:space="preserve"> </w:t>
      </w:r>
      <w:r>
        <w:rPr>
          <w:lang w:val="en-GB"/>
        </w:rPr>
        <w:t>Universal Periodic Review</w:t>
      </w:r>
      <w:r w:rsidR="001957CE">
        <w:rPr>
          <w:lang w:val="en-GB"/>
        </w:rPr>
        <w:t xml:space="preserve">, Germany supported a recommendation to </w:t>
      </w:r>
      <w:r w:rsidR="000E0B23" w:rsidRPr="00612DDE">
        <w:rPr>
          <w:color w:val="000000"/>
          <w:lang w:val="en-GB" w:eastAsia="en-GB"/>
        </w:rPr>
        <w:t>create an independent mechanism to investigate torture and abuse by the police</w:t>
      </w:r>
      <w:r>
        <w:rPr>
          <w:color w:val="000000"/>
          <w:lang w:val="en-GB" w:eastAsia="en-GB"/>
        </w:rPr>
        <w:t xml:space="preserve"> and to ensure </w:t>
      </w:r>
      <w:r w:rsidRPr="00B53271">
        <w:rPr>
          <w:lang w:val="en-GB"/>
        </w:rPr>
        <w:t>independent, impartial and effective investigations and prosecutions in cases of alleged police violence</w:t>
      </w:r>
      <w:r w:rsidR="000E0B23" w:rsidRPr="00612DDE">
        <w:rPr>
          <w:color w:val="000000"/>
          <w:lang w:val="en-GB" w:eastAsia="en-GB"/>
        </w:rPr>
        <w:t xml:space="preserve"> </w:t>
      </w:r>
      <w:r w:rsidR="000E0B23" w:rsidRPr="00612DDE">
        <w:rPr>
          <w:color w:val="000000"/>
          <w:lang w:val="en-GB" w:eastAsia="en-GB"/>
        </w:rPr>
        <w:t xml:space="preserve">(See </w:t>
      </w:r>
      <w:hyperlink r:id="rId18" w:history="1">
        <w:r w:rsidR="000E0B23" w:rsidRPr="00612DDE">
          <w:rPr>
            <w:rStyle w:val="Hyperlink"/>
            <w:lang w:val="en-GB" w:eastAsia="en-GB"/>
          </w:rPr>
          <w:t>A/HRC/39/9/Add.1</w:t>
        </w:r>
      </w:hyperlink>
      <w:r w:rsidR="000E0B23">
        <w:rPr>
          <w:lang w:val="en-GB"/>
        </w:rPr>
        <w:t>, 155.122</w:t>
      </w:r>
      <w:r>
        <w:rPr>
          <w:lang w:val="en-GB"/>
        </w:rPr>
        <w:t>, 155.126</w:t>
      </w:r>
      <w:r w:rsidR="000E0B23">
        <w:rPr>
          <w:lang w:val="en-GB"/>
        </w:rPr>
        <w:t>).</w:t>
      </w:r>
    </w:p>
    <w:p w14:paraId="2F4C37D8" w14:textId="56852F59" w:rsidR="00D12621" w:rsidRDefault="00D12621" w:rsidP="00612DDE">
      <w:pPr>
        <w:spacing w:line="240" w:lineRule="auto"/>
        <w:jc w:val="both"/>
        <w:rPr>
          <w:lang w:val="en-GB"/>
        </w:rPr>
      </w:pPr>
      <w:r w:rsidRPr="00AB770F">
        <w:rPr>
          <w:lang w:val="en-GB"/>
        </w:rPr>
        <w:t>While welcoming the decision of the Ministers of Justice of the Länder to increase the funds for the National Agency fo</w:t>
      </w:r>
      <w:r>
        <w:rPr>
          <w:lang w:val="en-GB"/>
        </w:rPr>
        <w:t xml:space="preserve">r the Prevention of Torture, the Committee further recommended that Germany </w:t>
      </w:r>
      <w:r w:rsidRPr="00AB770F">
        <w:rPr>
          <w:lang w:val="en-GB"/>
        </w:rPr>
        <w:t xml:space="preserve">provide the </w:t>
      </w:r>
      <w:r>
        <w:rPr>
          <w:lang w:val="en-GB"/>
        </w:rPr>
        <w:t xml:space="preserve">said </w:t>
      </w:r>
      <w:r w:rsidRPr="00AB770F">
        <w:rPr>
          <w:lang w:val="en-GB"/>
        </w:rPr>
        <w:t>Agency with sufficient human, financial, technical and logistical resources</w:t>
      </w:r>
      <w:r>
        <w:rPr>
          <w:lang w:val="en-GB"/>
        </w:rPr>
        <w:t>,</w:t>
      </w:r>
      <w:r w:rsidRPr="00AB770F">
        <w:rPr>
          <w:lang w:val="en-GB"/>
        </w:rPr>
        <w:t xml:space="preserve"> to enable it to carry out its functions effectively and independently, in accordance with the Optional Protocol </w:t>
      </w:r>
      <w:r>
        <w:rPr>
          <w:lang w:val="en-GB"/>
        </w:rPr>
        <w:t xml:space="preserve">to the Convention and </w:t>
      </w:r>
      <w:r w:rsidRPr="00AB770F">
        <w:rPr>
          <w:lang w:val="en-GB"/>
        </w:rPr>
        <w:t xml:space="preserve">guidelines </w:t>
      </w:r>
      <w:r w:rsidR="00DF01FF">
        <w:rPr>
          <w:lang w:val="en-GB"/>
        </w:rPr>
        <w:t xml:space="preserve">of </w:t>
      </w:r>
      <w:r w:rsidRPr="00AB770F">
        <w:rPr>
          <w:lang w:val="en-GB"/>
        </w:rPr>
        <w:t xml:space="preserve">the </w:t>
      </w:r>
      <w:r>
        <w:rPr>
          <w:lang w:val="en-GB"/>
        </w:rPr>
        <w:t xml:space="preserve">UN </w:t>
      </w:r>
      <w:r w:rsidRPr="00AB770F">
        <w:rPr>
          <w:lang w:val="en-GB"/>
        </w:rPr>
        <w:t>Subcommittee on Prevention of Torture and Other Cruel, Inhuman or Deg</w:t>
      </w:r>
      <w:r>
        <w:rPr>
          <w:lang w:val="en-GB"/>
        </w:rPr>
        <w:t xml:space="preserve">rading Treatment or Punishment. The Committee </w:t>
      </w:r>
      <w:r w:rsidR="00DF01FF">
        <w:rPr>
          <w:lang w:val="en-GB"/>
        </w:rPr>
        <w:t xml:space="preserve">also recommended that the Agency be given greater authority in the way it carries out its mandate in both public and privately-run </w:t>
      </w:r>
      <w:r w:rsidR="00F86B10">
        <w:rPr>
          <w:lang w:val="en-GB"/>
        </w:rPr>
        <w:t xml:space="preserve">institutions. </w:t>
      </w:r>
      <w:r>
        <w:rPr>
          <w:lang w:val="en-GB"/>
        </w:rPr>
        <w:t xml:space="preserve">(See </w:t>
      </w:r>
      <w:hyperlink r:id="rId19" w:history="1">
        <w:r w:rsidRPr="00C35057">
          <w:rPr>
            <w:rStyle w:val="Hyperlink"/>
            <w:lang w:val="en-GB"/>
          </w:rPr>
          <w:t>CAT/C/DEU/CO/6</w:t>
        </w:r>
      </w:hyperlink>
      <w:r>
        <w:rPr>
          <w:lang w:val="en-GB"/>
        </w:rPr>
        <w:t xml:space="preserve">, para </w:t>
      </w:r>
      <w:r w:rsidR="00632D55">
        <w:rPr>
          <w:lang w:val="en-GB"/>
        </w:rPr>
        <w:t>13-</w:t>
      </w:r>
      <w:r>
        <w:rPr>
          <w:lang w:val="en-GB"/>
        </w:rPr>
        <w:t xml:space="preserve">18). </w:t>
      </w:r>
    </w:p>
    <w:p w14:paraId="25A79266" w14:textId="06F316C2" w:rsidR="001B7CA2" w:rsidRPr="00DE39B5" w:rsidRDefault="001B7CA2" w:rsidP="006E6E00">
      <w:pPr>
        <w:spacing w:line="240" w:lineRule="auto"/>
        <w:jc w:val="both"/>
        <w:rPr>
          <w:lang w:val="en-GB"/>
        </w:rPr>
      </w:pPr>
      <w:r w:rsidRPr="00DE39B5">
        <w:rPr>
          <w:b/>
          <w:bCs/>
          <w:i/>
          <w:iCs/>
          <w:lang w:val="en-GB"/>
        </w:rPr>
        <w:t xml:space="preserve">C. Accessibility and judicial review of administrative decisions </w:t>
      </w:r>
    </w:p>
    <w:p w14:paraId="28A8155E" w14:textId="77777777" w:rsidR="001B7CA2" w:rsidRPr="00DE39B5" w:rsidRDefault="001B7CA2" w:rsidP="006E6E00">
      <w:pPr>
        <w:spacing w:line="240" w:lineRule="auto"/>
        <w:jc w:val="both"/>
        <w:rPr>
          <w:lang w:val="en-GB"/>
        </w:rPr>
      </w:pPr>
      <w:r w:rsidRPr="00DE39B5">
        <w:rPr>
          <w:i/>
          <w:iCs/>
          <w:lang w:val="en-GB"/>
        </w:rPr>
        <w:t xml:space="preserve">43. Transparency of administrative decisions and sanctions (incl. their publication and rules on collection of related data) and judicial review (incl. scope, suspensive effect) </w:t>
      </w:r>
    </w:p>
    <w:p w14:paraId="53488779" w14:textId="2F63D561" w:rsidR="001B7CA2" w:rsidRPr="00DE39B5" w:rsidRDefault="001B7CA2" w:rsidP="006E6E00">
      <w:pPr>
        <w:spacing w:line="240" w:lineRule="auto"/>
        <w:jc w:val="both"/>
        <w:rPr>
          <w:lang w:val="en-GB"/>
        </w:rPr>
      </w:pPr>
      <w:r w:rsidRPr="00DE39B5">
        <w:rPr>
          <w:i/>
          <w:iCs/>
          <w:lang w:val="en-GB"/>
        </w:rPr>
        <w:t xml:space="preserve">44. Implementation by the public administration and State institutions of final court decisions </w:t>
      </w:r>
    </w:p>
    <w:p w14:paraId="2081FC02" w14:textId="77777777" w:rsidR="001B7CA2" w:rsidRPr="00DE39B5" w:rsidRDefault="001B7CA2" w:rsidP="006E6E00">
      <w:pPr>
        <w:spacing w:line="240" w:lineRule="auto"/>
        <w:jc w:val="both"/>
        <w:rPr>
          <w:lang w:val="en-GB"/>
        </w:rPr>
      </w:pPr>
      <w:r w:rsidRPr="00DE39B5">
        <w:rPr>
          <w:b/>
          <w:bCs/>
          <w:i/>
          <w:iCs/>
          <w:lang w:val="en-GB"/>
        </w:rPr>
        <w:t xml:space="preserve">D. The enabling framework for civil society </w:t>
      </w:r>
    </w:p>
    <w:p w14:paraId="35ADA468" w14:textId="6459AEFE" w:rsidR="001B7CA2" w:rsidRDefault="001B7CA2" w:rsidP="006E6E00">
      <w:pPr>
        <w:spacing w:line="240" w:lineRule="auto"/>
        <w:jc w:val="both"/>
        <w:rPr>
          <w:i/>
          <w:iCs/>
          <w:lang w:val="en-GB"/>
        </w:rPr>
      </w:pPr>
      <w:r w:rsidRPr="00DE39B5">
        <w:rPr>
          <w:i/>
          <w:iCs/>
          <w:lang w:val="en-GB"/>
        </w:rPr>
        <w:t xml:space="preserve">45. Measures regarding the framework for civil society organisations (e.g. access to funding, registration rules, measures capable of affecting the public perception of civil society organisations, etc.) </w:t>
      </w:r>
    </w:p>
    <w:p w14:paraId="006C9535" w14:textId="5DE54D3C" w:rsidR="00CE4612" w:rsidRPr="00AA0504" w:rsidRDefault="00CE4612" w:rsidP="00CE4612">
      <w:pPr>
        <w:jc w:val="both"/>
        <w:rPr>
          <w:iCs/>
          <w:lang w:val="en-GB"/>
        </w:rPr>
      </w:pPr>
      <w:r>
        <w:rPr>
          <w:iCs/>
          <w:lang w:val="en-US"/>
        </w:rPr>
        <w:t xml:space="preserve">In her February 2021 global update to the Human Rights Council, the UN High Commissioner for Human Rights expressed concern about measures restricting the work of organizations that protect migrants’ rights and deliver life-saving assistance. She noted that criminal or administrative proceedings had been initiated in </w:t>
      </w:r>
      <w:r>
        <w:rPr>
          <w:iCs/>
          <w:lang w:val="en-US"/>
        </w:rPr>
        <w:t>Germany</w:t>
      </w:r>
      <w:r>
        <w:rPr>
          <w:iCs/>
          <w:lang w:val="en-US"/>
        </w:rPr>
        <w:t xml:space="preserve"> against humanitarian actors involved in search and rescue in the Mediterranean</w:t>
      </w:r>
      <w:r>
        <w:rPr>
          <w:iCs/>
          <w:lang w:val="en-US"/>
        </w:rPr>
        <w:t xml:space="preserve">. </w:t>
      </w:r>
      <w:r>
        <w:rPr>
          <w:iCs/>
          <w:lang w:val="en-US"/>
        </w:rPr>
        <w:t xml:space="preserve"> (</w:t>
      </w:r>
      <w:r>
        <w:rPr>
          <w:iCs/>
          <w:lang w:val="en-US"/>
        </w:rPr>
        <w:t xml:space="preserve">See </w:t>
      </w:r>
      <w:hyperlink r:id="rId20" w:history="1">
        <w:r w:rsidRPr="00913598">
          <w:rPr>
            <w:rStyle w:val="Hyperlink"/>
            <w:iCs/>
            <w:lang w:val="en-US"/>
          </w:rPr>
          <w:t>www.ohchr.org/EN/NewsEvents/Pages/DisplayNews.aspx?NewsID=26806&amp;LangID=E</w:t>
        </w:r>
      </w:hyperlink>
      <w:r>
        <w:rPr>
          <w:iCs/>
          <w:lang w:val="en-US"/>
        </w:rPr>
        <w:t xml:space="preserve">). </w:t>
      </w:r>
    </w:p>
    <w:p w14:paraId="5F9B4101" w14:textId="77777777" w:rsidR="00CE4612" w:rsidRPr="00DE39B5" w:rsidRDefault="00CE4612" w:rsidP="006E6E00">
      <w:pPr>
        <w:spacing w:line="240" w:lineRule="auto"/>
        <w:jc w:val="both"/>
        <w:rPr>
          <w:lang w:val="en-GB"/>
        </w:rPr>
      </w:pPr>
    </w:p>
    <w:p w14:paraId="6188EECA" w14:textId="77777777" w:rsidR="001B7CA2" w:rsidRPr="00DE39B5" w:rsidRDefault="001B7CA2" w:rsidP="006E6E00">
      <w:pPr>
        <w:spacing w:line="240" w:lineRule="auto"/>
        <w:jc w:val="both"/>
        <w:rPr>
          <w:lang w:val="en-GB"/>
        </w:rPr>
      </w:pPr>
      <w:r w:rsidRPr="00DE39B5">
        <w:rPr>
          <w:b/>
          <w:bCs/>
          <w:i/>
          <w:iCs/>
          <w:lang w:val="en-GB"/>
        </w:rPr>
        <w:t xml:space="preserve">E. Initiatives to foster a rule of law culture </w:t>
      </w:r>
    </w:p>
    <w:p w14:paraId="5D3DA062" w14:textId="77777777" w:rsidR="001B7CA2" w:rsidRPr="00DE39B5" w:rsidRDefault="001B7CA2" w:rsidP="006E6E00">
      <w:pPr>
        <w:spacing w:line="240" w:lineRule="auto"/>
        <w:jc w:val="both"/>
        <w:rPr>
          <w:lang w:val="en-GB"/>
        </w:rPr>
      </w:pPr>
      <w:r w:rsidRPr="00DE39B5">
        <w:rPr>
          <w:i/>
          <w:iCs/>
          <w:lang w:val="en-GB"/>
        </w:rPr>
        <w:t xml:space="preserve">46. Measures to foster a rule of law culture (e.g. debates in national parliaments on the rule of law, public information campaigns on rule of law issues, etc.) </w:t>
      </w:r>
    </w:p>
    <w:p w14:paraId="203ECA1D" w14:textId="77777777" w:rsidR="001B7CA2" w:rsidRPr="00DE39B5" w:rsidRDefault="001B7CA2" w:rsidP="006E6E00">
      <w:pPr>
        <w:spacing w:line="240" w:lineRule="auto"/>
        <w:jc w:val="both"/>
        <w:rPr>
          <w:lang w:val="en-GB"/>
        </w:rPr>
      </w:pPr>
      <w:r w:rsidRPr="00DE39B5">
        <w:rPr>
          <w:b/>
          <w:bCs/>
          <w:i/>
          <w:iCs/>
          <w:lang w:val="en-GB"/>
        </w:rPr>
        <w:t>Other – please specify</w:t>
      </w:r>
    </w:p>
    <w:p w14:paraId="7E55338D" w14:textId="77777777" w:rsidR="001B7CA2" w:rsidRPr="00DE39B5" w:rsidRDefault="001B7CA2" w:rsidP="006E6E00">
      <w:pPr>
        <w:spacing w:line="240" w:lineRule="auto"/>
        <w:jc w:val="both"/>
        <w:rPr>
          <w:rFonts w:cstheme="minorHAnsi"/>
          <w:lang w:val="en-GB"/>
        </w:rPr>
      </w:pPr>
    </w:p>
    <w:p w14:paraId="6B297B43" w14:textId="77777777" w:rsidR="00E75F98" w:rsidRPr="00DE39B5" w:rsidRDefault="00E75F98" w:rsidP="006E6E00">
      <w:pPr>
        <w:spacing w:line="240" w:lineRule="auto"/>
        <w:jc w:val="both"/>
        <w:rPr>
          <w:rFonts w:eastAsia="Calibri" w:cstheme="minorHAnsi"/>
          <w:lang w:val="en-GB"/>
        </w:rPr>
      </w:pPr>
    </w:p>
    <w:p w14:paraId="7B6D14DD" w14:textId="77777777" w:rsidR="008C7A94" w:rsidRPr="00DE39B5" w:rsidRDefault="008C7A94" w:rsidP="00832B97">
      <w:pPr>
        <w:jc w:val="both"/>
        <w:rPr>
          <w:b/>
          <w:bCs/>
          <w:lang w:val="en-GB"/>
        </w:rPr>
      </w:pPr>
    </w:p>
    <w:p w14:paraId="3170F293" w14:textId="77777777" w:rsidR="008C7A94" w:rsidRPr="00DE39B5" w:rsidRDefault="008C7A94" w:rsidP="00E7579B">
      <w:pPr>
        <w:jc w:val="both"/>
        <w:rPr>
          <w:rFonts w:eastAsia="Calibri" w:cstheme="minorHAnsi"/>
          <w:sz w:val="20"/>
          <w:szCs w:val="24"/>
          <w:lang w:val="en-GB"/>
        </w:rPr>
      </w:pPr>
    </w:p>
    <w:sectPr w:rsidR="008C7A94" w:rsidRPr="00DE39B5">
      <w:footerReference w:type="default" r:id="rId21"/>
      <w:endnotePr>
        <w:numFmt w:val="decimal"/>
      </w:end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048D8E" w14:textId="77777777" w:rsidR="00D17B75" w:rsidRDefault="00D17B75" w:rsidP="00AB6BD8">
      <w:pPr>
        <w:spacing w:after="0" w:line="240" w:lineRule="auto"/>
      </w:pPr>
      <w:r>
        <w:separator/>
      </w:r>
    </w:p>
  </w:endnote>
  <w:endnote w:type="continuationSeparator" w:id="0">
    <w:p w14:paraId="272F3AA3" w14:textId="77777777" w:rsidR="00D17B75" w:rsidRDefault="00D17B75"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SimSun"/>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0500433A" w14:textId="231F50E0" w:rsidR="008F5F0F" w:rsidRDefault="008F5F0F">
        <w:pPr>
          <w:pStyle w:val="Footer"/>
          <w:jc w:val="center"/>
        </w:pPr>
        <w:r>
          <w:fldChar w:fldCharType="begin"/>
        </w:r>
        <w:r>
          <w:instrText>PAGE   \* MERGEFORMAT</w:instrText>
        </w:r>
        <w:r>
          <w:fldChar w:fldCharType="separate"/>
        </w:r>
        <w:r w:rsidR="00D17B75" w:rsidRPr="00D17B75">
          <w:rPr>
            <w:noProof/>
            <w:lang w:val="fr-FR"/>
          </w:rPr>
          <w:t>1</w:t>
        </w:r>
        <w:r>
          <w:fldChar w:fldCharType="end"/>
        </w:r>
      </w:p>
    </w:sdtContent>
  </w:sdt>
  <w:p w14:paraId="1E65FFBB" w14:textId="77777777" w:rsidR="008F5F0F" w:rsidRDefault="008F5F0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43EEB" w14:textId="77777777" w:rsidR="00D17B75" w:rsidRDefault="00D17B75" w:rsidP="00AB6BD8">
      <w:pPr>
        <w:spacing w:after="0" w:line="240" w:lineRule="auto"/>
      </w:pPr>
      <w:r>
        <w:separator/>
      </w:r>
    </w:p>
  </w:footnote>
  <w:footnote w:type="continuationSeparator" w:id="0">
    <w:p w14:paraId="44EECFAB" w14:textId="77777777" w:rsidR="00D17B75" w:rsidRDefault="00D17B75" w:rsidP="00AB6B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2" w15:restartNumberingAfterBreak="0">
    <w:nsid w:val="3A8E10B9"/>
    <w:multiLevelType w:val="hybridMultilevel"/>
    <w:tmpl w:val="98DCD1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4"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GB" w:vendorID="64" w:dllVersion="131078" w:nlCheck="1" w:checkStyle="0"/>
  <w:activeWritingStyle w:appName="MSWord" w:lang="fr-BE" w:vendorID="64" w:dllVersion="131078" w:nlCheck="1" w:checkStyle="0"/>
  <w:activeWritingStyle w:appName="MSWord" w:lang="fr-FR" w:vendorID="64" w:dllVersion="131078" w:nlCheck="1" w:checkStyle="0"/>
  <w:activeWritingStyle w:appName="MSWord" w:lang="en-US" w:vendorID="64" w:dllVersion="131078" w:nlCheck="1" w:checkStyle="0"/>
  <w:defaultTabStop w:val="708"/>
  <w:hyphenationZone w:val="425"/>
  <w:characterSpacingControl w:val="doNotCompress"/>
  <w:savePreviewPicture/>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17D47"/>
    <w:rsid w:val="00024911"/>
    <w:rsid w:val="00025654"/>
    <w:rsid w:val="00037474"/>
    <w:rsid w:val="000704DD"/>
    <w:rsid w:val="0007240C"/>
    <w:rsid w:val="000B7A79"/>
    <w:rsid w:val="000E0B23"/>
    <w:rsid w:val="000F74F4"/>
    <w:rsid w:val="00135A29"/>
    <w:rsid w:val="00137F92"/>
    <w:rsid w:val="0017304E"/>
    <w:rsid w:val="00183D2E"/>
    <w:rsid w:val="00195595"/>
    <w:rsid w:val="001957CE"/>
    <w:rsid w:val="001965FA"/>
    <w:rsid w:val="001B7CA2"/>
    <w:rsid w:val="001C79A2"/>
    <w:rsid w:val="001C7CCF"/>
    <w:rsid w:val="002043C9"/>
    <w:rsid w:val="002057FA"/>
    <w:rsid w:val="00207339"/>
    <w:rsid w:val="00221C79"/>
    <w:rsid w:val="00221F18"/>
    <w:rsid w:val="00251082"/>
    <w:rsid w:val="00275AE3"/>
    <w:rsid w:val="002A5792"/>
    <w:rsid w:val="002B1761"/>
    <w:rsid w:val="002B407D"/>
    <w:rsid w:val="002C15AB"/>
    <w:rsid w:val="002D45D1"/>
    <w:rsid w:val="003333FC"/>
    <w:rsid w:val="00351BA9"/>
    <w:rsid w:val="00357B2A"/>
    <w:rsid w:val="003635F9"/>
    <w:rsid w:val="00371670"/>
    <w:rsid w:val="003834A7"/>
    <w:rsid w:val="00383787"/>
    <w:rsid w:val="003A4BFE"/>
    <w:rsid w:val="003C0D3D"/>
    <w:rsid w:val="003F06D8"/>
    <w:rsid w:val="004112AA"/>
    <w:rsid w:val="0041343E"/>
    <w:rsid w:val="00436A52"/>
    <w:rsid w:val="00451BE5"/>
    <w:rsid w:val="004573B3"/>
    <w:rsid w:val="00473E36"/>
    <w:rsid w:val="004809CC"/>
    <w:rsid w:val="00482466"/>
    <w:rsid w:val="004A0573"/>
    <w:rsid w:val="004F00B8"/>
    <w:rsid w:val="00516BFD"/>
    <w:rsid w:val="00521F3C"/>
    <w:rsid w:val="00531531"/>
    <w:rsid w:val="005461E9"/>
    <w:rsid w:val="00555662"/>
    <w:rsid w:val="00555F7E"/>
    <w:rsid w:val="0058456D"/>
    <w:rsid w:val="005E449A"/>
    <w:rsid w:val="005E61F1"/>
    <w:rsid w:val="00600322"/>
    <w:rsid w:val="00607414"/>
    <w:rsid w:val="00612DDE"/>
    <w:rsid w:val="006151C9"/>
    <w:rsid w:val="00632D55"/>
    <w:rsid w:val="0066480F"/>
    <w:rsid w:val="00676E28"/>
    <w:rsid w:val="00684784"/>
    <w:rsid w:val="00686A22"/>
    <w:rsid w:val="006A3B4C"/>
    <w:rsid w:val="006B1DC5"/>
    <w:rsid w:val="006C6EF5"/>
    <w:rsid w:val="006E6E00"/>
    <w:rsid w:val="00736A67"/>
    <w:rsid w:val="00737127"/>
    <w:rsid w:val="007E2521"/>
    <w:rsid w:val="007F7F5F"/>
    <w:rsid w:val="0080379C"/>
    <w:rsid w:val="00812CA6"/>
    <w:rsid w:val="00815599"/>
    <w:rsid w:val="008272A0"/>
    <w:rsid w:val="00832B97"/>
    <w:rsid w:val="008628EF"/>
    <w:rsid w:val="00867498"/>
    <w:rsid w:val="008A1B74"/>
    <w:rsid w:val="008A7229"/>
    <w:rsid w:val="008B5DE9"/>
    <w:rsid w:val="008C7A94"/>
    <w:rsid w:val="008D7D49"/>
    <w:rsid w:val="008E537C"/>
    <w:rsid w:val="008F5F0F"/>
    <w:rsid w:val="00910A01"/>
    <w:rsid w:val="00916B8E"/>
    <w:rsid w:val="009530A8"/>
    <w:rsid w:val="009747C2"/>
    <w:rsid w:val="00984131"/>
    <w:rsid w:val="00997215"/>
    <w:rsid w:val="009B09D1"/>
    <w:rsid w:val="009C1E32"/>
    <w:rsid w:val="00A00505"/>
    <w:rsid w:val="00A02E03"/>
    <w:rsid w:val="00A114BB"/>
    <w:rsid w:val="00A251DE"/>
    <w:rsid w:val="00A44EFC"/>
    <w:rsid w:val="00A71217"/>
    <w:rsid w:val="00A93AF5"/>
    <w:rsid w:val="00AB4073"/>
    <w:rsid w:val="00AB6BD8"/>
    <w:rsid w:val="00AB770F"/>
    <w:rsid w:val="00AE223F"/>
    <w:rsid w:val="00AF23A2"/>
    <w:rsid w:val="00B45587"/>
    <w:rsid w:val="00B53271"/>
    <w:rsid w:val="00B54E3F"/>
    <w:rsid w:val="00B669A0"/>
    <w:rsid w:val="00B77A96"/>
    <w:rsid w:val="00B837B5"/>
    <w:rsid w:val="00B93DED"/>
    <w:rsid w:val="00B94426"/>
    <w:rsid w:val="00BA137B"/>
    <w:rsid w:val="00BB26FB"/>
    <w:rsid w:val="00BB67D7"/>
    <w:rsid w:val="00BC1D9A"/>
    <w:rsid w:val="00BC202D"/>
    <w:rsid w:val="00BC645A"/>
    <w:rsid w:val="00C30641"/>
    <w:rsid w:val="00C34944"/>
    <w:rsid w:val="00C35057"/>
    <w:rsid w:val="00C46DCD"/>
    <w:rsid w:val="00C82B49"/>
    <w:rsid w:val="00CA091E"/>
    <w:rsid w:val="00CA7071"/>
    <w:rsid w:val="00CB4A86"/>
    <w:rsid w:val="00CC5815"/>
    <w:rsid w:val="00CC6B37"/>
    <w:rsid w:val="00CD1815"/>
    <w:rsid w:val="00CE4612"/>
    <w:rsid w:val="00CF19C5"/>
    <w:rsid w:val="00CF698C"/>
    <w:rsid w:val="00D12621"/>
    <w:rsid w:val="00D17B75"/>
    <w:rsid w:val="00D462E8"/>
    <w:rsid w:val="00D50253"/>
    <w:rsid w:val="00D75475"/>
    <w:rsid w:val="00D755AF"/>
    <w:rsid w:val="00D81A0D"/>
    <w:rsid w:val="00D848D8"/>
    <w:rsid w:val="00DA2342"/>
    <w:rsid w:val="00DA325C"/>
    <w:rsid w:val="00DB1913"/>
    <w:rsid w:val="00DB5065"/>
    <w:rsid w:val="00DC23FB"/>
    <w:rsid w:val="00DC470F"/>
    <w:rsid w:val="00DE0598"/>
    <w:rsid w:val="00DE39B5"/>
    <w:rsid w:val="00DF01FF"/>
    <w:rsid w:val="00E115B1"/>
    <w:rsid w:val="00E27A9B"/>
    <w:rsid w:val="00E63CAD"/>
    <w:rsid w:val="00E64DD2"/>
    <w:rsid w:val="00E7579B"/>
    <w:rsid w:val="00E75F98"/>
    <w:rsid w:val="00E85F2B"/>
    <w:rsid w:val="00EE0BEE"/>
    <w:rsid w:val="00EE7611"/>
    <w:rsid w:val="00EF1D21"/>
    <w:rsid w:val="00EF36D6"/>
    <w:rsid w:val="00EF39A5"/>
    <w:rsid w:val="00EF4DF8"/>
    <w:rsid w:val="00F229EB"/>
    <w:rsid w:val="00F86B10"/>
    <w:rsid w:val="00FA136B"/>
    <w:rsid w:val="00FC45E2"/>
    <w:rsid w:val="00FD580D"/>
    <w:rsid w:val="00FE1807"/>
    <w:rsid w:val="00FE1BD3"/>
    <w:rsid w:val="00FE4BD6"/>
    <w:rsid w:val="00FF410C"/>
  </w:rsids>
  <m:mathPr>
    <m:mathFont m:val="Cambria Math"/>
    <m:brkBin m:val="before"/>
    <m:brkBinSub m:val="--"/>
    <m:smallFrac m:val="0"/>
    <m:dispDef/>
    <m:lMargin m:val="0"/>
    <m:rMargin m:val="0"/>
    <m:defJc m:val="centerGroup"/>
    <m:wrapIndent m:val="1440"/>
    <m:intLim m:val="subSup"/>
    <m:naryLim m:val="undOvr"/>
  </m:mathPr>
  <w:themeFontLang w:val="fr-B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6DA"/>
  <w15:chartTrackingRefBased/>
  <w15:docId w15:val="{AC71498E-03E6-4E57-9D91-D8D5EF42D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770F"/>
  </w:style>
  <w:style w:type="paragraph" w:styleId="Heading2">
    <w:name w:val="heading 2"/>
    <w:basedOn w:val="Normal"/>
    <w:next w:val="Normal"/>
    <w:link w:val="Heading2Char"/>
    <w:uiPriority w:val="9"/>
    <w:semiHidden/>
    <w:unhideWhenUsed/>
    <w:qFormat/>
    <w:rsid w:val="009B09D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C30641"/>
    <w:pPr>
      <w:spacing w:before="100" w:beforeAutospacing="1" w:after="100" w:afterAutospacing="1" w:line="240" w:lineRule="auto"/>
      <w:outlineLvl w:val="2"/>
    </w:pPr>
    <w:rPr>
      <w:rFonts w:ascii="Times New Roman" w:eastAsia="Times New Roman" w:hAnsi="Times New Roman" w:cs="Times New Roman"/>
      <w:b/>
      <w:bCs/>
      <w:sz w:val="27"/>
      <w:szCs w:val="27"/>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basedOn w:val="Normal"/>
    <w:link w:val="HeaderChar"/>
    <w:uiPriority w:val="99"/>
    <w:unhideWhenUsed/>
    <w:rsid w:val="00997215"/>
    <w:pPr>
      <w:tabs>
        <w:tab w:val="center" w:pos="4536"/>
        <w:tab w:val="right" w:pos="9072"/>
      </w:tabs>
      <w:spacing w:after="0" w:line="240" w:lineRule="auto"/>
    </w:pPr>
  </w:style>
  <w:style w:type="character" w:customStyle="1" w:styleId="HeaderChar">
    <w:name w:val="Header Char"/>
    <w:basedOn w:val="DefaultParagraphFont"/>
    <w:link w:val="Header"/>
    <w:uiPriority w:val="99"/>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 w:type="character" w:customStyle="1" w:styleId="UnresolvedMention">
    <w:name w:val="Unresolved Mention"/>
    <w:basedOn w:val="DefaultParagraphFont"/>
    <w:uiPriority w:val="99"/>
    <w:semiHidden/>
    <w:unhideWhenUsed/>
    <w:rsid w:val="00BB26FB"/>
    <w:rPr>
      <w:color w:val="605E5C"/>
      <w:shd w:val="clear" w:color="auto" w:fill="E1DFDD"/>
    </w:rPr>
  </w:style>
  <w:style w:type="character" w:customStyle="1" w:styleId="Heading3Char">
    <w:name w:val="Heading 3 Char"/>
    <w:basedOn w:val="DefaultParagraphFont"/>
    <w:link w:val="Heading3"/>
    <w:uiPriority w:val="9"/>
    <w:rsid w:val="00C30641"/>
    <w:rPr>
      <w:rFonts w:ascii="Times New Roman" w:eastAsia="Times New Roman" w:hAnsi="Times New Roman" w:cs="Times New Roman"/>
      <w:b/>
      <w:bCs/>
      <w:sz w:val="27"/>
      <w:szCs w:val="27"/>
      <w:lang w:val="de-DE" w:eastAsia="de-DE"/>
    </w:rPr>
  </w:style>
  <w:style w:type="character" w:customStyle="1" w:styleId="Heading2Char">
    <w:name w:val="Heading 2 Char"/>
    <w:basedOn w:val="DefaultParagraphFont"/>
    <w:link w:val="Heading2"/>
    <w:uiPriority w:val="9"/>
    <w:semiHidden/>
    <w:rsid w:val="009B09D1"/>
    <w:rPr>
      <w:rFonts w:asciiTheme="majorHAnsi" w:eastAsiaTheme="majorEastAsia" w:hAnsiTheme="majorHAnsi" w:cstheme="majorBidi"/>
      <w:color w:val="2F5496" w:themeColor="accent1" w:themeShade="BF"/>
      <w:sz w:val="26"/>
      <w:szCs w:val="26"/>
    </w:rPr>
  </w:style>
  <w:style w:type="character" w:customStyle="1" w:styleId="lblnewsfulltext">
    <w:name w:val="lblnewsfulltext"/>
    <w:basedOn w:val="DefaultParagraphFont"/>
    <w:rsid w:val="00A712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24838">
      <w:bodyDiv w:val="1"/>
      <w:marLeft w:val="0"/>
      <w:marRight w:val="0"/>
      <w:marTop w:val="0"/>
      <w:marBottom w:val="0"/>
      <w:divBdr>
        <w:top w:val="none" w:sz="0" w:space="0" w:color="auto"/>
        <w:left w:val="none" w:sz="0" w:space="0" w:color="auto"/>
        <w:bottom w:val="none" w:sz="0" w:space="0" w:color="auto"/>
        <w:right w:val="none" w:sz="0" w:space="0" w:color="auto"/>
      </w:divBdr>
    </w:div>
    <w:div w:id="77140901">
      <w:bodyDiv w:val="1"/>
      <w:marLeft w:val="0"/>
      <w:marRight w:val="0"/>
      <w:marTop w:val="0"/>
      <w:marBottom w:val="0"/>
      <w:divBdr>
        <w:top w:val="none" w:sz="0" w:space="0" w:color="auto"/>
        <w:left w:val="none" w:sz="0" w:space="0" w:color="auto"/>
        <w:bottom w:val="none" w:sz="0" w:space="0" w:color="auto"/>
        <w:right w:val="none" w:sz="0" w:space="0" w:color="auto"/>
      </w:divBdr>
    </w:div>
    <w:div w:id="77555526">
      <w:bodyDiv w:val="1"/>
      <w:marLeft w:val="0"/>
      <w:marRight w:val="0"/>
      <w:marTop w:val="0"/>
      <w:marBottom w:val="0"/>
      <w:divBdr>
        <w:top w:val="none" w:sz="0" w:space="0" w:color="auto"/>
        <w:left w:val="none" w:sz="0" w:space="0" w:color="auto"/>
        <w:bottom w:val="none" w:sz="0" w:space="0" w:color="auto"/>
        <w:right w:val="none" w:sz="0" w:space="0" w:color="auto"/>
      </w:divBdr>
    </w:div>
    <w:div w:id="89784410">
      <w:bodyDiv w:val="1"/>
      <w:marLeft w:val="0"/>
      <w:marRight w:val="0"/>
      <w:marTop w:val="0"/>
      <w:marBottom w:val="0"/>
      <w:divBdr>
        <w:top w:val="none" w:sz="0" w:space="0" w:color="auto"/>
        <w:left w:val="none" w:sz="0" w:space="0" w:color="auto"/>
        <w:bottom w:val="none" w:sz="0" w:space="0" w:color="auto"/>
        <w:right w:val="none" w:sz="0" w:space="0" w:color="auto"/>
      </w:divBdr>
    </w:div>
    <w:div w:id="99222845">
      <w:bodyDiv w:val="1"/>
      <w:marLeft w:val="0"/>
      <w:marRight w:val="0"/>
      <w:marTop w:val="0"/>
      <w:marBottom w:val="0"/>
      <w:divBdr>
        <w:top w:val="none" w:sz="0" w:space="0" w:color="auto"/>
        <w:left w:val="none" w:sz="0" w:space="0" w:color="auto"/>
        <w:bottom w:val="none" w:sz="0" w:space="0" w:color="auto"/>
        <w:right w:val="none" w:sz="0" w:space="0" w:color="auto"/>
      </w:divBdr>
    </w:div>
    <w:div w:id="107939043">
      <w:bodyDiv w:val="1"/>
      <w:marLeft w:val="0"/>
      <w:marRight w:val="0"/>
      <w:marTop w:val="0"/>
      <w:marBottom w:val="0"/>
      <w:divBdr>
        <w:top w:val="none" w:sz="0" w:space="0" w:color="auto"/>
        <w:left w:val="none" w:sz="0" w:space="0" w:color="auto"/>
        <w:bottom w:val="none" w:sz="0" w:space="0" w:color="auto"/>
        <w:right w:val="none" w:sz="0" w:space="0" w:color="auto"/>
      </w:divBdr>
    </w:div>
    <w:div w:id="196436550">
      <w:bodyDiv w:val="1"/>
      <w:marLeft w:val="0"/>
      <w:marRight w:val="0"/>
      <w:marTop w:val="0"/>
      <w:marBottom w:val="0"/>
      <w:divBdr>
        <w:top w:val="none" w:sz="0" w:space="0" w:color="auto"/>
        <w:left w:val="none" w:sz="0" w:space="0" w:color="auto"/>
        <w:bottom w:val="none" w:sz="0" w:space="0" w:color="auto"/>
        <w:right w:val="none" w:sz="0" w:space="0" w:color="auto"/>
      </w:divBdr>
    </w:div>
    <w:div w:id="242762267">
      <w:bodyDiv w:val="1"/>
      <w:marLeft w:val="0"/>
      <w:marRight w:val="0"/>
      <w:marTop w:val="0"/>
      <w:marBottom w:val="0"/>
      <w:divBdr>
        <w:top w:val="none" w:sz="0" w:space="0" w:color="auto"/>
        <w:left w:val="none" w:sz="0" w:space="0" w:color="auto"/>
        <w:bottom w:val="none" w:sz="0" w:space="0" w:color="auto"/>
        <w:right w:val="none" w:sz="0" w:space="0" w:color="auto"/>
      </w:divBdr>
    </w:div>
    <w:div w:id="283079954">
      <w:bodyDiv w:val="1"/>
      <w:marLeft w:val="0"/>
      <w:marRight w:val="0"/>
      <w:marTop w:val="0"/>
      <w:marBottom w:val="0"/>
      <w:divBdr>
        <w:top w:val="none" w:sz="0" w:space="0" w:color="auto"/>
        <w:left w:val="none" w:sz="0" w:space="0" w:color="auto"/>
        <w:bottom w:val="none" w:sz="0" w:space="0" w:color="auto"/>
        <w:right w:val="none" w:sz="0" w:space="0" w:color="auto"/>
      </w:divBdr>
    </w:div>
    <w:div w:id="299118863">
      <w:bodyDiv w:val="1"/>
      <w:marLeft w:val="0"/>
      <w:marRight w:val="0"/>
      <w:marTop w:val="0"/>
      <w:marBottom w:val="0"/>
      <w:divBdr>
        <w:top w:val="none" w:sz="0" w:space="0" w:color="auto"/>
        <w:left w:val="none" w:sz="0" w:space="0" w:color="auto"/>
        <w:bottom w:val="none" w:sz="0" w:space="0" w:color="auto"/>
        <w:right w:val="none" w:sz="0" w:space="0" w:color="auto"/>
      </w:divBdr>
    </w:div>
    <w:div w:id="367949291">
      <w:bodyDiv w:val="1"/>
      <w:marLeft w:val="0"/>
      <w:marRight w:val="0"/>
      <w:marTop w:val="0"/>
      <w:marBottom w:val="0"/>
      <w:divBdr>
        <w:top w:val="none" w:sz="0" w:space="0" w:color="auto"/>
        <w:left w:val="none" w:sz="0" w:space="0" w:color="auto"/>
        <w:bottom w:val="none" w:sz="0" w:space="0" w:color="auto"/>
        <w:right w:val="none" w:sz="0" w:space="0" w:color="auto"/>
      </w:divBdr>
    </w:div>
    <w:div w:id="373193453">
      <w:bodyDiv w:val="1"/>
      <w:marLeft w:val="0"/>
      <w:marRight w:val="0"/>
      <w:marTop w:val="0"/>
      <w:marBottom w:val="0"/>
      <w:divBdr>
        <w:top w:val="none" w:sz="0" w:space="0" w:color="auto"/>
        <w:left w:val="none" w:sz="0" w:space="0" w:color="auto"/>
        <w:bottom w:val="none" w:sz="0" w:space="0" w:color="auto"/>
        <w:right w:val="none" w:sz="0" w:space="0" w:color="auto"/>
      </w:divBdr>
    </w:div>
    <w:div w:id="401408645">
      <w:bodyDiv w:val="1"/>
      <w:marLeft w:val="0"/>
      <w:marRight w:val="0"/>
      <w:marTop w:val="0"/>
      <w:marBottom w:val="0"/>
      <w:divBdr>
        <w:top w:val="none" w:sz="0" w:space="0" w:color="auto"/>
        <w:left w:val="none" w:sz="0" w:space="0" w:color="auto"/>
        <w:bottom w:val="none" w:sz="0" w:space="0" w:color="auto"/>
        <w:right w:val="none" w:sz="0" w:space="0" w:color="auto"/>
      </w:divBdr>
    </w:div>
    <w:div w:id="427505446">
      <w:bodyDiv w:val="1"/>
      <w:marLeft w:val="0"/>
      <w:marRight w:val="0"/>
      <w:marTop w:val="0"/>
      <w:marBottom w:val="0"/>
      <w:divBdr>
        <w:top w:val="none" w:sz="0" w:space="0" w:color="auto"/>
        <w:left w:val="none" w:sz="0" w:space="0" w:color="auto"/>
        <w:bottom w:val="none" w:sz="0" w:space="0" w:color="auto"/>
        <w:right w:val="none" w:sz="0" w:space="0" w:color="auto"/>
      </w:divBdr>
    </w:div>
    <w:div w:id="435246593">
      <w:bodyDiv w:val="1"/>
      <w:marLeft w:val="0"/>
      <w:marRight w:val="0"/>
      <w:marTop w:val="0"/>
      <w:marBottom w:val="0"/>
      <w:divBdr>
        <w:top w:val="none" w:sz="0" w:space="0" w:color="auto"/>
        <w:left w:val="none" w:sz="0" w:space="0" w:color="auto"/>
        <w:bottom w:val="none" w:sz="0" w:space="0" w:color="auto"/>
        <w:right w:val="none" w:sz="0" w:space="0" w:color="auto"/>
      </w:divBdr>
    </w:div>
    <w:div w:id="459808765">
      <w:bodyDiv w:val="1"/>
      <w:marLeft w:val="0"/>
      <w:marRight w:val="0"/>
      <w:marTop w:val="0"/>
      <w:marBottom w:val="0"/>
      <w:divBdr>
        <w:top w:val="none" w:sz="0" w:space="0" w:color="auto"/>
        <w:left w:val="none" w:sz="0" w:space="0" w:color="auto"/>
        <w:bottom w:val="none" w:sz="0" w:space="0" w:color="auto"/>
        <w:right w:val="none" w:sz="0" w:space="0" w:color="auto"/>
      </w:divBdr>
    </w:div>
    <w:div w:id="514156258">
      <w:bodyDiv w:val="1"/>
      <w:marLeft w:val="0"/>
      <w:marRight w:val="0"/>
      <w:marTop w:val="0"/>
      <w:marBottom w:val="0"/>
      <w:divBdr>
        <w:top w:val="none" w:sz="0" w:space="0" w:color="auto"/>
        <w:left w:val="none" w:sz="0" w:space="0" w:color="auto"/>
        <w:bottom w:val="none" w:sz="0" w:space="0" w:color="auto"/>
        <w:right w:val="none" w:sz="0" w:space="0" w:color="auto"/>
      </w:divBdr>
    </w:div>
    <w:div w:id="542601692">
      <w:bodyDiv w:val="1"/>
      <w:marLeft w:val="0"/>
      <w:marRight w:val="0"/>
      <w:marTop w:val="0"/>
      <w:marBottom w:val="0"/>
      <w:divBdr>
        <w:top w:val="none" w:sz="0" w:space="0" w:color="auto"/>
        <w:left w:val="none" w:sz="0" w:space="0" w:color="auto"/>
        <w:bottom w:val="none" w:sz="0" w:space="0" w:color="auto"/>
        <w:right w:val="none" w:sz="0" w:space="0" w:color="auto"/>
      </w:divBdr>
    </w:div>
    <w:div w:id="687215085">
      <w:bodyDiv w:val="1"/>
      <w:marLeft w:val="0"/>
      <w:marRight w:val="0"/>
      <w:marTop w:val="0"/>
      <w:marBottom w:val="0"/>
      <w:divBdr>
        <w:top w:val="none" w:sz="0" w:space="0" w:color="auto"/>
        <w:left w:val="none" w:sz="0" w:space="0" w:color="auto"/>
        <w:bottom w:val="none" w:sz="0" w:space="0" w:color="auto"/>
        <w:right w:val="none" w:sz="0" w:space="0" w:color="auto"/>
      </w:divBdr>
    </w:div>
    <w:div w:id="713887912">
      <w:bodyDiv w:val="1"/>
      <w:marLeft w:val="0"/>
      <w:marRight w:val="0"/>
      <w:marTop w:val="0"/>
      <w:marBottom w:val="0"/>
      <w:divBdr>
        <w:top w:val="none" w:sz="0" w:space="0" w:color="auto"/>
        <w:left w:val="none" w:sz="0" w:space="0" w:color="auto"/>
        <w:bottom w:val="none" w:sz="0" w:space="0" w:color="auto"/>
        <w:right w:val="none" w:sz="0" w:space="0" w:color="auto"/>
      </w:divBdr>
    </w:div>
    <w:div w:id="732049903">
      <w:bodyDiv w:val="1"/>
      <w:marLeft w:val="0"/>
      <w:marRight w:val="0"/>
      <w:marTop w:val="0"/>
      <w:marBottom w:val="0"/>
      <w:divBdr>
        <w:top w:val="none" w:sz="0" w:space="0" w:color="auto"/>
        <w:left w:val="none" w:sz="0" w:space="0" w:color="auto"/>
        <w:bottom w:val="none" w:sz="0" w:space="0" w:color="auto"/>
        <w:right w:val="none" w:sz="0" w:space="0" w:color="auto"/>
      </w:divBdr>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825508681">
      <w:bodyDiv w:val="1"/>
      <w:marLeft w:val="0"/>
      <w:marRight w:val="0"/>
      <w:marTop w:val="0"/>
      <w:marBottom w:val="0"/>
      <w:divBdr>
        <w:top w:val="none" w:sz="0" w:space="0" w:color="auto"/>
        <w:left w:val="none" w:sz="0" w:space="0" w:color="auto"/>
        <w:bottom w:val="none" w:sz="0" w:space="0" w:color="auto"/>
        <w:right w:val="none" w:sz="0" w:space="0" w:color="auto"/>
      </w:divBdr>
    </w:div>
    <w:div w:id="873812728">
      <w:bodyDiv w:val="1"/>
      <w:marLeft w:val="0"/>
      <w:marRight w:val="0"/>
      <w:marTop w:val="0"/>
      <w:marBottom w:val="0"/>
      <w:divBdr>
        <w:top w:val="none" w:sz="0" w:space="0" w:color="auto"/>
        <w:left w:val="none" w:sz="0" w:space="0" w:color="auto"/>
        <w:bottom w:val="none" w:sz="0" w:space="0" w:color="auto"/>
        <w:right w:val="none" w:sz="0" w:space="0" w:color="auto"/>
      </w:divBdr>
    </w:div>
    <w:div w:id="892810594">
      <w:bodyDiv w:val="1"/>
      <w:marLeft w:val="0"/>
      <w:marRight w:val="0"/>
      <w:marTop w:val="0"/>
      <w:marBottom w:val="0"/>
      <w:divBdr>
        <w:top w:val="none" w:sz="0" w:space="0" w:color="auto"/>
        <w:left w:val="none" w:sz="0" w:space="0" w:color="auto"/>
        <w:bottom w:val="none" w:sz="0" w:space="0" w:color="auto"/>
        <w:right w:val="none" w:sz="0" w:space="0" w:color="auto"/>
      </w:divBdr>
    </w:div>
    <w:div w:id="934753407">
      <w:bodyDiv w:val="1"/>
      <w:marLeft w:val="0"/>
      <w:marRight w:val="0"/>
      <w:marTop w:val="0"/>
      <w:marBottom w:val="0"/>
      <w:divBdr>
        <w:top w:val="none" w:sz="0" w:space="0" w:color="auto"/>
        <w:left w:val="none" w:sz="0" w:space="0" w:color="auto"/>
        <w:bottom w:val="none" w:sz="0" w:space="0" w:color="auto"/>
        <w:right w:val="none" w:sz="0" w:space="0" w:color="auto"/>
      </w:divBdr>
    </w:div>
    <w:div w:id="980306585">
      <w:bodyDiv w:val="1"/>
      <w:marLeft w:val="0"/>
      <w:marRight w:val="0"/>
      <w:marTop w:val="0"/>
      <w:marBottom w:val="0"/>
      <w:divBdr>
        <w:top w:val="none" w:sz="0" w:space="0" w:color="auto"/>
        <w:left w:val="none" w:sz="0" w:space="0" w:color="auto"/>
        <w:bottom w:val="none" w:sz="0" w:space="0" w:color="auto"/>
        <w:right w:val="none" w:sz="0" w:space="0" w:color="auto"/>
      </w:divBdr>
    </w:div>
    <w:div w:id="986906939">
      <w:bodyDiv w:val="1"/>
      <w:marLeft w:val="0"/>
      <w:marRight w:val="0"/>
      <w:marTop w:val="0"/>
      <w:marBottom w:val="0"/>
      <w:divBdr>
        <w:top w:val="none" w:sz="0" w:space="0" w:color="auto"/>
        <w:left w:val="none" w:sz="0" w:space="0" w:color="auto"/>
        <w:bottom w:val="none" w:sz="0" w:space="0" w:color="auto"/>
        <w:right w:val="none" w:sz="0" w:space="0" w:color="auto"/>
      </w:divBdr>
    </w:div>
    <w:div w:id="997728654">
      <w:bodyDiv w:val="1"/>
      <w:marLeft w:val="0"/>
      <w:marRight w:val="0"/>
      <w:marTop w:val="0"/>
      <w:marBottom w:val="0"/>
      <w:divBdr>
        <w:top w:val="none" w:sz="0" w:space="0" w:color="auto"/>
        <w:left w:val="none" w:sz="0" w:space="0" w:color="auto"/>
        <w:bottom w:val="none" w:sz="0" w:space="0" w:color="auto"/>
        <w:right w:val="none" w:sz="0" w:space="0" w:color="auto"/>
      </w:divBdr>
    </w:div>
    <w:div w:id="1032421211">
      <w:bodyDiv w:val="1"/>
      <w:marLeft w:val="0"/>
      <w:marRight w:val="0"/>
      <w:marTop w:val="0"/>
      <w:marBottom w:val="0"/>
      <w:divBdr>
        <w:top w:val="none" w:sz="0" w:space="0" w:color="auto"/>
        <w:left w:val="none" w:sz="0" w:space="0" w:color="auto"/>
        <w:bottom w:val="none" w:sz="0" w:space="0" w:color="auto"/>
        <w:right w:val="none" w:sz="0" w:space="0" w:color="auto"/>
      </w:divBdr>
    </w:div>
    <w:div w:id="1070614497">
      <w:bodyDiv w:val="1"/>
      <w:marLeft w:val="0"/>
      <w:marRight w:val="0"/>
      <w:marTop w:val="0"/>
      <w:marBottom w:val="0"/>
      <w:divBdr>
        <w:top w:val="none" w:sz="0" w:space="0" w:color="auto"/>
        <w:left w:val="none" w:sz="0" w:space="0" w:color="auto"/>
        <w:bottom w:val="none" w:sz="0" w:space="0" w:color="auto"/>
        <w:right w:val="none" w:sz="0" w:space="0" w:color="auto"/>
      </w:divBdr>
    </w:div>
    <w:div w:id="1180241629">
      <w:bodyDiv w:val="1"/>
      <w:marLeft w:val="0"/>
      <w:marRight w:val="0"/>
      <w:marTop w:val="0"/>
      <w:marBottom w:val="0"/>
      <w:divBdr>
        <w:top w:val="none" w:sz="0" w:space="0" w:color="auto"/>
        <w:left w:val="none" w:sz="0" w:space="0" w:color="auto"/>
        <w:bottom w:val="none" w:sz="0" w:space="0" w:color="auto"/>
        <w:right w:val="none" w:sz="0" w:space="0" w:color="auto"/>
      </w:divBdr>
    </w:div>
    <w:div w:id="1198197367">
      <w:bodyDiv w:val="1"/>
      <w:marLeft w:val="0"/>
      <w:marRight w:val="0"/>
      <w:marTop w:val="0"/>
      <w:marBottom w:val="0"/>
      <w:divBdr>
        <w:top w:val="none" w:sz="0" w:space="0" w:color="auto"/>
        <w:left w:val="none" w:sz="0" w:space="0" w:color="auto"/>
        <w:bottom w:val="none" w:sz="0" w:space="0" w:color="auto"/>
        <w:right w:val="none" w:sz="0" w:space="0" w:color="auto"/>
      </w:divBdr>
    </w:div>
    <w:div w:id="1225720980">
      <w:bodyDiv w:val="1"/>
      <w:marLeft w:val="0"/>
      <w:marRight w:val="0"/>
      <w:marTop w:val="0"/>
      <w:marBottom w:val="0"/>
      <w:divBdr>
        <w:top w:val="none" w:sz="0" w:space="0" w:color="auto"/>
        <w:left w:val="none" w:sz="0" w:space="0" w:color="auto"/>
        <w:bottom w:val="none" w:sz="0" w:space="0" w:color="auto"/>
        <w:right w:val="none" w:sz="0" w:space="0" w:color="auto"/>
      </w:divBdr>
    </w:div>
    <w:div w:id="1250852241">
      <w:bodyDiv w:val="1"/>
      <w:marLeft w:val="0"/>
      <w:marRight w:val="0"/>
      <w:marTop w:val="0"/>
      <w:marBottom w:val="0"/>
      <w:divBdr>
        <w:top w:val="none" w:sz="0" w:space="0" w:color="auto"/>
        <w:left w:val="none" w:sz="0" w:space="0" w:color="auto"/>
        <w:bottom w:val="none" w:sz="0" w:space="0" w:color="auto"/>
        <w:right w:val="none" w:sz="0" w:space="0" w:color="auto"/>
      </w:divBdr>
    </w:div>
    <w:div w:id="1311522186">
      <w:bodyDiv w:val="1"/>
      <w:marLeft w:val="0"/>
      <w:marRight w:val="0"/>
      <w:marTop w:val="0"/>
      <w:marBottom w:val="0"/>
      <w:divBdr>
        <w:top w:val="none" w:sz="0" w:space="0" w:color="auto"/>
        <w:left w:val="none" w:sz="0" w:space="0" w:color="auto"/>
        <w:bottom w:val="none" w:sz="0" w:space="0" w:color="auto"/>
        <w:right w:val="none" w:sz="0" w:space="0" w:color="auto"/>
      </w:divBdr>
    </w:div>
    <w:div w:id="1312514765">
      <w:bodyDiv w:val="1"/>
      <w:marLeft w:val="0"/>
      <w:marRight w:val="0"/>
      <w:marTop w:val="0"/>
      <w:marBottom w:val="0"/>
      <w:divBdr>
        <w:top w:val="none" w:sz="0" w:space="0" w:color="auto"/>
        <w:left w:val="none" w:sz="0" w:space="0" w:color="auto"/>
        <w:bottom w:val="none" w:sz="0" w:space="0" w:color="auto"/>
        <w:right w:val="none" w:sz="0" w:space="0" w:color="auto"/>
      </w:divBdr>
    </w:div>
    <w:div w:id="1323043464">
      <w:bodyDiv w:val="1"/>
      <w:marLeft w:val="0"/>
      <w:marRight w:val="0"/>
      <w:marTop w:val="0"/>
      <w:marBottom w:val="0"/>
      <w:divBdr>
        <w:top w:val="none" w:sz="0" w:space="0" w:color="auto"/>
        <w:left w:val="none" w:sz="0" w:space="0" w:color="auto"/>
        <w:bottom w:val="none" w:sz="0" w:space="0" w:color="auto"/>
        <w:right w:val="none" w:sz="0" w:space="0" w:color="auto"/>
      </w:divBdr>
    </w:div>
    <w:div w:id="1360426203">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418675656">
      <w:bodyDiv w:val="1"/>
      <w:marLeft w:val="0"/>
      <w:marRight w:val="0"/>
      <w:marTop w:val="0"/>
      <w:marBottom w:val="0"/>
      <w:divBdr>
        <w:top w:val="none" w:sz="0" w:space="0" w:color="auto"/>
        <w:left w:val="none" w:sz="0" w:space="0" w:color="auto"/>
        <w:bottom w:val="none" w:sz="0" w:space="0" w:color="auto"/>
        <w:right w:val="none" w:sz="0" w:space="0" w:color="auto"/>
      </w:divBdr>
    </w:div>
    <w:div w:id="1575823919">
      <w:bodyDiv w:val="1"/>
      <w:marLeft w:val="0"/>
      <w:marRight w:val="0"/>
      <w:marTop w:val="0"/>
      <w:marBottom w:val="0"/>
      <w:divBdr>
        <w:top w:val="none" w:sz="0" w:space="0" w:color="auto"/>
        <w:left w:val="none" w:sz="0" w:space="0" w:color="auto"/>
        <w:bottom w:val="none" w:sz="0" w:space="0" w:color="auto"/>
        <w:right w:val="none" w:sz="0" w:space="0" w:color="auto"/>
      </w:divBdr>
    </w:div>
    <w:div w:id="1612281264">
      <w:bodyDiv w:val="1"/>
      <w:marLeft w:val="0"/>
      <w:marRight w:val="0"/>
      <w:marTop w:val="0"/>
      <w:marBottom w:val="0"/>
      <w:divBdr>
        <w:top w:val="none" w:sz="0" w:space="0" w:color="auto"/>
        <w:left w:val="none" w:sz="0" w:space="0" w:color="auto"/>
        <w:bottom w:val="none" w:sz="0" w:space="0" w:color="auto"/>
        <w:right w:val="none" w:sz="0" w:space="0" w:color="auto"/>
      </w:divBdr>
    </w:div>
    <w:div w:id="1661497327">
      <w:bodyDiv w:val="1"/>
      <w:marLeft w:val="0"/>
      <w:marRight w:val="0"/>
      <w:marTop w:val="0"/>
      <w:marBottom w:val="0"/>
      <w:divBdr>
        <w:top w:val="none" w:sz="0" w:space="0" w:color="auto"/>
        <w:left w:val="none" w:sz="0" w:space="0" w:color="auto"/>
        <w:bottom w:val="none" w:sz="0" w:space="0" w:color="auto"/>
        <w:right w:val="none" w:sz="0" w:space="0" w:color="auto"/>
      </w:divBdr>
    </w:div>
    <w:div w:id="1662542799">
      <w:bodyDiv w:val="1"/>
      <w:marLeft w:val="0"/>
      <w:marRight w:val="0"/>
      <w:marTop w:val="0"/>
      <w:marBottom w:val="0"/>
      <w:divBdr>
        <w:top w:val="none" w:sz="0" w:space="0" w:color="auto"/>
        <w:left w:val="none" w:sz="0" w:space="0" w:color="auto"/>
        <w:bottom w:val="none" w:sz="0" w:space="0" w:color="auto"/>
        <w:right w:val="none" w:sz="0" w:space="0" w:color="auto"/>
      </w:divBdr>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1743020316">
      <w:bodyDiv w:val="1"/>
      <w:marLeft w:val="0"/>
      <w:marRight w:val="0"/>
      <w:marTop w:val="0"/>
      <w:marBottom w:val="0"/>
      <w:divBdr>
        <w:top w:val="none" w:sz="0" w:space="0" w:color="auto"/>
        <w:left w:val="none" w:sz="0" w:space="0" w:color="auto"/>
        <w:bottom w:val="none" w:sz="0" w:space="0" w:color="auto"/>
        <w:right w:val="none" w:sz="0" w:space="0" w:color="auto"/>
      </w:divBdr>
    </w:div>
    <w:div w:id="1756049253">
      <w:bodyDiv w:val="1"/>
      <w:marLeft w:val="0"/>
      <w:marRight w:val="0"/>
      <w:marTop w:val="0"/>
      <w:marBottom w:val="0"/>
      <w:divBdr>
        <w:top w:val="none" w:sz="0" w:space="0" w:color="auto"/>
        <w:left w:val="none" w:sz="0" w:space="0" w:color="auto"/>
        <w:bottom w:val="none" w:sz="0" w:space="0" w:color="auto"/>
        <w:right w:val="none" w:sz="0" w:space="0" w:color="auto"/>
      </w:divBdr>
    </w:div>
    <w:div w:id="1820270443">
      <w:bodyDiv w:val="1"/>
      <w:marLeft w:val="0"/>
      <w:marRight w:val="0"/>
      <w:marTop w:val="0"/>
      <w:marBottom w:val="0"/>
      <w:divBdr>
        <w:top w:val="none" w:sz="0" w:space="0" w:color="auto"/>
        <w:left w:val="none" w:sz="0" w:space="0" w:color="auto"/>
        <w:bottom w:val="none" w:sz="0" w:space="0" w:color="auto"/>
        <w:right w:val="none" w:sz="0" w:space="0" w:color="auto"/>
      </w:divBdr>
    </w:div>
    <w:div w:id="1822499104">
      <w:bodyDiv w:val="1"/>
      <w:marLeft w:val="0"/>
      <w:marRight w:val="0"/>
      <w:marTop w:val="0"/>
      <w:marBottom w:val="0"/>
      <w:divBdr>
        <w:top w:val="none" w:sz="0" w:space="0" w:color="auto"/>
        <w:left w:val="none" w:sz="0" w:space="0" w:color="auto"/>
        <w:bottom w:val="none" w:sz="0" w:space="0" w:color="auto"/>
        <w:right w:val="none" w:sz="0" w:space="0" w:color="auto"/>
      </w:divBdr>
    </w:div>
    <w:div w:id="2037726707">
      <w:bodyDiv w:val="1"/>
      <w:marLeft w:val="0"/>
      <w:marRight w:val="0"/>
      <w:marTop w:val="0"/>
      <w:marBottom w:val="0"/>
      <w:divBdr>
        <w:top w:val="none" w:sz="0" w:space="0" w:color="auto"/>
        <w:left w:val="none" w:sz="0" w:space="0" w:color="auto"/>
        <w:bottom w:val="none" w:sz="0" w:space="0" w:color="auto"/>
        <w:right w:val="none" w:sz="0" w:space="0" w:color="auto"/>
      </w:divBdr>
    </w:div>
    <w:div w:id="2042852464">
      <w:bodyDiv w:val="1"/>
      <w:marLeft w:val="0"/>
      <w:marRight w:val="0"/>
      <w:marTop w:val="0"/>
      <w:marBottom w:val="0"/>
      <w:divBdr>
        <w:top w:val="none" w:sz="0" w:space="0" w:color="auto"/>
        <w:left w:val="none" w:sz="0" w:space="0" w:color="auto"/>
        <w:bottom w:val="none" w:sz="0" w:space="0" w:color="auto"/>
        <w:right w:val="none" w:sz="0" w:space="0" w:color="auto"/>
      </w:divBdr>
    </w:div>
    <w:div w:id="2069642786">
      <w:bodyDiv w:val="1"/>
      <w:marLeft w:val="0"/>
      <w:marRight w:val="0"/>
      <w:marTop w:val="0"/>
      <w:marBottom w:val="0"/>
      <w:divBdr>
        <w:top w:val="none" w:sz="0" w:space="0" w:color="auto"/>
        <w:left w:val="none" w:sz="0" w:space="0" w:color="auto"/>
        <w:bottom w:val="none" w:sz="0" w:space="0" w:color="auto"/>
        <w:right w:val="none" w:sz="0" w:space="0" w:color="auto"/>
      </w:divBdr>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tore.ohchr.org/SelfServices/FilesHandler.ashx?enc=6QkG1d%2fPPRiCAqhKb7yhsqkhzDrS5b7WwzT1uQvroadACz8ta0G58EoYKrcGSK8%2baCNZpKQWe3IIoqwlQEAlesFL48PC6Ex3QnMuxP0LFLKB97BLR6RsGOQLGBelakWE" TargetMode="External"/><Relationship Id="rId13" Type="http://schemas.openxmlformats.org/officeDocument/2006/relationships/hyperlink" Target="https://docstore.ohchr.org/SelfServices/FilesHandler.ashx?enc=6QkG1d%2fPPRiCAqhKb7yhsqkhzDrS5b7WwzT1uQvroadACz8ta0G58EoYKrcGSK8%2baCNZpKQWe3IIoqwlQEAlesFL48PC6Ex3QnMuxP0LFLKB97BLR6RsGOQLGBelakWE" TargetMode="External"/><Relationship Id="rId18" Type="http://schemas.openxmlformats.org/officeDocument/2006/relationships/hyperlink" Target="https://documents-dds-ny.un.org/doc/UNDOC/GEN/G18/273/84/PDF/G1827384.pdf?OpenElement"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daccess-ods.un.org/access.nsf/Get?Open&amp;DS=A/HRC/39/9/Add.1&amp;Lang=E" TargetMode="External"/><Relationship Id="rId17" Type="http://schemas.openxmlformats.org/officeDocument/2006/relationships/hyperlink" Target="https://docstore.ohchr.org/SelfServices/FilesHandler.ashx?enc=6QkG1d%2fPPRiCAqhKb7yhsqkhzDrS5b7WwzT1uQvroadACz8ta0G58EoYKrcGSK8%2baCNZpKQWe3IIoqwlQEAlesFL48PC6Ex3QnMuxP0LFLKB97BLR6RsGOQLGBelakWE" TargetMode="External"/><Relationship Id="rId2" Type="http://schemas.openxmlformats.org/officeDocument/2006/relationships/numbering" Target="numbering.xml"/><Relationship Id="rId16" Type="http://schemas.openxmlformats.org/officeDocument/2006/relationships/hyperlink" Target="https://docstore.ohchr.org/SelfServices/FilesHandler.ashx?enc=6QkG1d%2fPPRiCAqhKb7yhsqkhzDrS5b7WwzT1uQvroadACz8ta0G58EoYKrcGSK8%2baCNZpKQWe3IIoqwlQEAlesFL48PC6Ex3QnMuxP0LFLKB97BLR6RsGOQLGBelakWE" TargetMode="External"/><Relationship Id="rId20" Type="http://schemas.openxmlformats.org/officeDocument/2006/relationships/hyperlink" Target="http://www.ohchr.org/EN/NewsEvents/Pages/DisplayNews.aspx?NewsID=26806&amp;LangI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p.ohchr.org/documents/dpage_e.aspx?si=A/HRC/39/9" TargetMode="External"/><Relationship Id="rId5" Type="http://schemas.openxmlformats.org/officeDocument/2006/relationships/webSettings" Target="webSettings.xml"/><Relationship Id="rId15" Type="http://schemas.openxmlformats.org/officeDocument/2006/relationships/hyperlink" Target="https://docstore.ohchr.org/SelfServices/FilesHandler.ashx?enc=6QkG1d%2fPPRiCAqhKb7yhsqkhzDrS5b7WwzT1uQvroadACz8ta0G58EoYKrcGSK8%2baCNZpKQWe3IIoqwlQEAlesFL48PC6Ex3QnMuxP0LFLKB97BLR6RsGOQLGBelakWE" TargetMode="External"/><Relationship Id="rId23" Type="http://schemas.openxmlformats.org/officeDocument/2006/relationships/theme" Target="theme/theme1.xml"/><Relationship Id="rId10" Type="http://schemas.openxmlformats.org/officeDocument/2006/relationships/hyperlink" Target="https://docstore.ohchr.org/SelfServices/FilesHandler.ashx?enc=6QkG1d%2fPPRiCAqhKb7yhsqkhzDrS5b7WwzT1uQvroadACz8ta0G58EoYKrcGSK8%2baCNZpKQWe3IIoqwlQEAlesFL48PC6Ex3QnMuxP0LFLKB97BLR6RsGOQLGBelakWE" TargetMode="External"/><Relationship Id="rId19" Type="http://schemas.openxmlformats.org/officeDocument/2006/relationships/hyperlink" Target="https://docstore.ohchr.org/SelfServices/FilesHandler.ashx?enc=6QkG1d%2fPPRiCAqhKb7yhsqkhzDrS5b7WwzT1uQvroadACz8ta0G58EoYKrcGSK8%2baCNZpKQWe3IIoqwlQEAlesFL48PC6Ex3QnMuxP0LFLKB97BLR6RsGOQLGBelakWE" TargetMode="External"/><Relationship Id="rId4" Type="http://schemas.openxmlformats.org/officeDocument/2006/relationships/settings" Target="settings.xml"/><Relationship Id="rId9" Type="http://schemas.openxmlformats.org/officeDocument/2006/relationships/hyperlink" Target="https://www.ohchr.org/EN/NewsEvents/Pages/DisplayNews.aspx?NewsID=26730" TargetMode="External"/><Relationship Id="rId14" Type="http://schemas.openxmlformats.org/officeDocument/2006/relationships/hyperlink" Target="https://twitter.com/UNHumanRights/status/1364891272943722497"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7E261-6F44-41D1-9959-7078CCA7B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2738</Words>
  <Characters>15610</Characters>
  <Application>Microsoft Office Word</Application>
  <DocSecurity>0</DocSecurity>
  <Lines>130</Lines>
  <Paragraphs>36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dc:creator>
  <cp:keywords/>
  <dc:description/>
  <cp:lastModifiedBy>Marie-Dominique</cp:lastModifiedBy>
  <cp:revision>3</cp:revision>
  <dcterms:created xsi:type="dcterms:W3CDTF">2021-03-02T22:26:00Z</dcterms:created>
  <dcterms:modified xsi:type="dcterms:W3CDTF">2021-03-02T22:29:00Z</dcterms:modified>
</cp:coreProperties>
</file>